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D2" w:rsidRPr="0048036D" w:rsidRDefault="00E574D2" w:rsidP="00E574D2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8036D" w:rsidRPr="0048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CF7FBE" w:rsidRPr="0048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E574D2" w:rsidRPr="0048036D" w:rsidRDefault="00E574D2" w:rsidP="00E574D2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6363499"/>
      <w:r w:rsidRPr="0048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администрации городского округа Тольятти о ходе выполнения Плана мероприятий н</w:t>
      </w:r>
      <w:r w:rsidR="00D6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bookmarkStart w:id="1" w:name="_GoBack"/>
      <w:bookmarkEnd w:id="1"/>
      <w:r w:rsidR="00D67B78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2019-2024 годы по реализации с</w:t>
      </w:r>
      <w:r w:rsidRPr="004803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тратегии социально-экономического развития городского округа Тольятти на период до 2030 года, утвержденного решением Думы городского округа Тольятти от 24.12.2019 № 445, за 2024 год</w:t>
      </w:r>
    </w:p>
    <w:bookmarkEnd w:id="0"/>
    <w:p w:rsidR="00E574D2" w:rsidRDefault="00E574D2" w:rsidP="00E574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D29" w:rsidRPr="0048036D" w:rsidRDefault="00962D29" w:rsidP="00E574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4D2" w:rsidRPr="0048036D" w:rsidRDefault="00E574D2" w:rsidP="00E574D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4D2" w:rsidRPr="00F83671" w:rsidRDefault="00F83671" w:rsidP="00962D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ДОПОЛНИТЕЛЬНАЯ ИНФОРМАЦИЯ</w:t>
      </w:r>
    </w:p>
    <w:p w:rsidR="00E574D2" w:rsidRPr="00F83671" w:rsidRDefault="00F83671" w:rsidP="0096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 xml:space="preserve"> О РЕЗУЛЬТАТАХ ВЫПОЛНЕНИЯ (ПРИЧИНАХ НЕВЫПОЛНЕНИЯ) В ОТЧЕТНОМ ПЕРИОДЕ ОТДЕЛЬНЫХ МЕРОПРИЯТИЙ ПЛАНА МЕРОПРИЯТИЙ НА 2019-2024 ГОДЫ ПО РЕАЛИЗАЦИИ СТРАТЕГИИ СОЦИАЛЬНО-ЭКОНОМИЧЕСКОГО РАЗВИТИЯ ГОРОДСКОГО ОКРУГА ТОЛЬЯТТИ НА ПЕРИОД ДО 2030 ГОДА, </w:t>
      </w:r>
      <w:r w:rsidRPr="00F83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УТВЕРЖДЕННОГО РЕШЕНИЕМ ДУМЫ ГОРОДСКОГО ОКРУГА ТОЛЬЯТТИ ОТ 24.12.2019 № 445</w:t>
      </w:r>
    </w:p>
    <w:p w:rsidR="002155DE" w:rsidRPr="00522B67" w:rsidRDefault="002155DE" w:rsidP="0096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4D2" w:rsidRPr="00F83671" w:rsidRDefault="00E574D2" w:rsidP="00962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 (1) «Экогород»</w:t>
      </w:r>
    </w:p>
    <w:p w:rsidR="00DA094D" w:rsidRPr="00F83671" w:rsidRDefault="00DA094D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3. Экологизация Волжского бассейна, развитие инфраструктуры водоснабжения и водоотведения</w:t>
      </w:r>
    </w:p>
    <w:p w:rsidR="00E574D2" w:rsidRPr="00F83671" w:rsidRDefault="00E574D2" w:rsidP="00F836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bookmarkStart w:id="2" w:name="_Hlk129774116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городского округа Тольятти в реализации региональной составляющей федерального проекта «Оздоровление Волги» национального проекта «Экология»</w:t>
      </w:r>
      <w:bookmarkEnd w:id="2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0A6" w:rsidRPr="00F83671" w:rsidRDefault="003A3335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Проектная документация </w:t>
      </w:r>
      <w:r w:rsidR="00057B52" w:rsidRPr="00F83671">
        <w:rPr>
          <w:rFonts w:ascii="Times New Roman" w:eastAsia="Calibri" w:hAnsi="Times New Roman" w:cs="Times New Roman"/>
          <w:iCs/>
          <w:sz w:val="28"/>
          <w:szCs w:val="28"/>
        </w:rPr>
        <w:t xml:space="preserve">на строительство объекта «Строительство очистных сооружений дождевых сточных вод с селитебной территории Автозаводского района </w:t>
      </w:r>
      <w:proofErr w:type="spellStart"/>
      <w:r w:rsidR="005D078E">
        <w:rPr>
          <w:rFonts w:ascii="Times New Roman" w:eastAsia="Calibri" w:hAnsi="Times New Roman" w:cs="Times New Roman"/>
          <w:iCs/>
          <w:sz w:val="28"/>
          <w:szCs w:val="28"/>
        </w:rPr>
        <w:t>г</w:t>
      </w:r>
      <w:proofErr w:type="gramStart"/>
      <w:r w:rsidR="005D078E">
        <w:rPr>
          <w:rFonts w:ascii="Times New Roman" w:eastAsia="Calibri" w:hAnsi="Times New Roman" w:cs="Times New Roman"/>
          <w:iCs/>
          <w:sz w:val="28"/>
          <w:szCs w:val="28"/>
        </w:rPr>
        <w:t>.Т</w:t>
      </w:r>
      <w:proofErr w:type="gramEnd"/>
      <w:r w:rsidR="005D078E">
        <w:rPr>
          <w:rFonts w:ascii="Times New Roman" w:eastAsia="Calibri" w:hAnsi="Times New Roman" w:cs="Times New Roman"/>
          <w:iCs/>
          <w:sz w:val="28"/>
          <w:szCs w:val="28"/>
        </w:rPr>
        <w:t>ольятти</w:t>
      </w:r>
      <w:proofErr w:type="spellEnd"/>
      <w:r w:rsidR="00057B52" w:rsidRPr="00F83671">
        <w:rPr>
          <w:rFonts w:ascii="Times New Roman" w:eastAsia="Calibri" w:hAnsi="Times New Roman" w:cs="Times New Roman"/>
          <w:iCs/>
          <w:sz w:val="28"/>
          <w:szCs w:val="28"/>
        </w:rPr>
        <w:t xml:space="preserve"> с подводящими трубопроводами и инженерно-техническим обеспечением»</w:t>
      </w:r>
      <w:r w:rsidR="003370A6" w:rsidRPr="00F83671">
        <w:rPr>
          <w:rFonts w:ascii="Times New Roman" w:eastAsia="Calibri" w:hAnsi="Times New Roman" w:cs="Times New Roman"/>
          <w:sz w:val="28"/>
          <w:szCs w:val="28"/>
        </w:rPr>
        <w:t xml:space="preserve"> была разработана</w:t>
      </w:r>
      <w:r w:rsidR="0016485F" w:rsidRPr="00F83671">
        <w:rPr>
          <w:rFonts w:ascii="Times New Roman" w:eastAsia="Calibri" w:hAnsi="Times New Roman" w:cs="Times New Roman"/>
          <w:sz w:val="28"/>
          <w:szCs w:val="28"/>
        </w:rPr>
        <w:t xml:space="preserve"> ООО «Базис» на основании муниципального контракта на выполнение проектно-изыскательских работ № 0142200001312012485_77955 от 23.07.2021.</w:t>
      </w:r>
    </w:p>
    <w:p w:rsidR="003A3335" w:rsidRPr="00F83671" w:rsidRDefault="003A3335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В целях получения положительного заключения государственной экспертизы проектной документации и результатов инженерных изысканий ООО «Базис» </w:t>
      </w:r>
      <w:r w:rsidR="004C2CCD" w:rsidRPr="00F83671"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Pr="00F83671">
        <w:rPr>
          <w:rFonts w:ascii="Times New Roman" w:eastAsia="Calibri" w:hAnsi="Times New Roman" w:cs="Times New Roman"/>
          <w:sz w:val="28"/>
          <w:szCs w:val="28"/>
        </w:rPr>
        <w:t>сформирована заявка от 14.03.2023 в ФАУ «Главгосэкспертиза России» о приеме разработанной проектной документации.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По результатам предварительной проверки комплектности данной документации получено замечание ФАУ «Главгосэкспертиза России» от 20.03.2023 о представлении актуального документа, подтверждающего размер и источники финансирования – письмо о подтверждении предполагаемой (предельной) стоимости строительства.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 целью получения письма о подтверждении предполагаемой (предельной) стоимости строительства (далее – Письмо ГРБС) данного объекта, в адрес министерства энергетики и жилищно-коммунального хозяйства Самарской области были направлены запросы от 15.06.2022 </w:t>
      </w:r>
      <w:r w:rsidR="00DA094D">
        <w:rPr>
          <w:rFonts w:ascii="Times New Roman" w:eastAsia="Calibri" w:hAnsi="Times New Roman" w:cs="Times New Roman"/>
          <w:sz w:val="28"/>
          <w:szCs w:val="28"/>
        </w:rPr>
        <w:br/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№ 4345/5, от 01.07.2022 № 4775/5, от 12.10.2022 № 7365/5, от 28.10.2022 </w:t>
      </w:r>
      <w:r w:rsidR="00DA094D">
        <w:rPr>
          <w:rFonts w:ascii="Times New Roman" w:eastAsia="Calibri" w:hAnsi="Times New Roman" w:cs="Times New Roman"/>
          <w:sz w:val="28"/>
          <w:szCs w:val="28"/>
        </w:rPr>
        <w:br/>
      </w:r>
      <w:r w:rsidRPr="00F83671">
        <w:rPr>
          <w:rFonts w:ascii="Times New Roman" w:eastAsia="Calibri" w:hAnsi="Times New Roman" w:cs="Times New Roman"/>
          <w:sz w:val="28"/>
          <w:szCs w:val="28"/>
        </w:rPr>
        <w:t>№ 7928/5 о предоставлении Письма ГРБС. Ответы в адрес администрации городского округа Тольятти не поступали.</w:t>
      </w:r>
    </w:p>
    <w:p w:rsidR="00202304" w:rsidRPr="00F83671" w:rsidRDefault="003A3335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Стоит отметить, что согласно письму министерства энергетики и жилищно-коммунального хозяйства Самарской области № МЭЖКХ/3393-исх от 25.05.2023 (вх. № 4714-вх/1 от 26.05.2023)</w:t>
      </w:r>
      <w:r w:rsidR="00DA094D">
        <w:rPr>
          <w:rFonts w:ascii="Times New Roman" w:eastAsia="Calibri" w:hAnsi="Times New Roman" w:cs="Times New Roman"/>
          <w:sz w:val="28"/>
          <w:szCs w:val="28"/>
        </w:rPr>
        <w:t>,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общая сметная стоимость строительства объекта не должна </w:t>
      </w:r>
      <w:r w:rsidR="00FC6EB2" w:rsidRPr="00F83671">
        <w:rPr>
          <w:rFonts w:ascii="Times New Roman" w:eastAsia="Calibri" w:hAnsi="Times New Roman" w:cs="Times New Roman"/>
          <w:sz w:val="28"/>
          <w:szCs w:val="28"/>
        </w:rPr>
        <w:t xml:space="preserve">превышать </w:t>
      </w:r>
      <w:r w:rsidRPr="00F83671">
        <w:rPr>
          <w:rFonts w:ascii="Times New Roman" w:eastAsia="Calibri" w:hAnsi="Times New Roman" w:cs="Times New Roman"/>
          <w:sz w:val="28"/>
          <w:szCs w:val="28"/>
        </w:rPr>
        <w:t>установленную государственной программой Самарской области «Оздоровление Волги. Строительство и реконструкция (модернизация) очистных сооружений централизованных систем водоотведения» на 2019-2025 годы,</w:t>
      </w:r>
      <w:r w:rsidR="00FC6EB2" w:rsidRPr="00F83671">
        <w:rPr>
          <w:rFonts w:ascii="Times New Roman" w:eastAsia="Calibri" w:hAnsi="Times New Roman" w:cs="Times New Roman"/>
          <w:sz w:val="28"/>
          <w:szCs w:val="28"/>
        </w:rPr>
        <w:t xml:space="preserve"> утв. постановлением Правительства Самарской области от 26.07.2019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6EB2" w:rsidRPr="00F83671">
        <w:rPr>
          <w:rFonts w:ascii="Times New Roman" w:eastAsia="Calibri" w:hAnsi="Times New Roman" w:cs="Times New Roman"/>
          <w:sz w:val="28"/>
          <w:szCs w:val="28"/>
        </w:rPr>
        <w:t>№ 514</w:t>
      </w:r>
      <w:r w:rsidR="00DA094D">
        <w:rPr>
          <w:rFonts w:ascii="Times New Roman" w:eastAsia="Calibri" w:hAnsi="Times New Roman" w:cs="Times New Roman"/>
          <w:sz w:val="28"/>
          <w:szCs w:val="28"/>
        </w:rPr>
        <w:t>,</w:t>
      </w:r>
      <w:r w:rsidR="00FC6EB2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sz w:val="28"/>
          <w:szCs w:val="28"/>
        </w:rPr>
        <w:t>предполагаемую (предельную) стоимость строитель</w:t>
      </w:r>
      <w:r w:rsidR="00FC6EB2" w:rsidRPr="00F83671">
        <w:rPr>
          <w:rFonts w:ascii="Times New Roman" w:eastAsia="Calibri" w:hAnsi="Times New Roman" w:cs="Times New Roman"/>
          <w:sz w:val="28"/>
          <w:szCs w:val="28"/>
        </w:rPr>
        <w:t xml:space="preserve">ства – </w:t>
      </w:r>
      <w:r w:rsidR="00DA094D">
        <w:rPr>
          <w:rFonts w:ascii="Times New Roman" w:eastAsia="Calibri" w:hAnsi="Times New Roman" w:cs="Times New Roman"/>
          <w:sz w:val="28"/>
          <w:szCs w:val="28"/>
        </w:rPr>
        <w:t>2 321 746,0 тыс</w:t>
      </w:r>
      <w:proofErr w:type="gramStart"/>
      <w:r w:rsidR="00DA094D">
        <w:rPr>
          <w:rFonts w:ascii="Times New Roman" w:eastAsia="Calibri" w:hAnsi="Times New Roman" w:cs="Times New Roman"/>
          <w:sz w:val="28"/>
          <w:szCs w:val="28"/>
        </w:rPr>
        <w:t>.</w:t>
      </w:r>
      <w:r w:rsidR="009D0866" w:rsidRPr="00F83671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9D0866" w:rsidRPr="00F83671">
        <w:rPr>
          <w:rFonts w:ascii="Times New Roman" w:eastAsia="Calibri" w:hAnsi="Times New Roman" w:cs="Times New Roman"/>
          <w:sz w:val="28"/>
          <w:szCs w:val="28"/>
        </w:rPr>
        <w:t>уб. При этом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предполагаемая (предельная) стоимость строительства объекта, предостав</w:t>
      </w:r>
      <w:r w:rsidR="00C4335B" w:rsidRPr="00F83671">
        <w:rPr>
          <w:rFonts w:ascii="Times New Roman" w:eastAsia="Calibri" w:hAnsi="Times New Roman" w:cs="Times New Roman"/>
          <w:sz w:val="28"/>
          <w:szCs w:val="28"/>
        </w:rPr>
        <w:t xml:space="preserve">ленная подрядчиком, составила </w:t>
      </w:r>
      <w:r w:rsidR="00DA094D">
        <w:rPr>
          <w:rFonts w:ascii="Times New Roman" w:eastAsia="Calibri" w:hAnsi="Times New Roman" w:cs="Times New Roman"/>
          <w:sz w:val="28"/>
          <w:szCs w:val="28"/>
        </w:rPr>
        <w:br/>
      </w:r>
      <w:r w:rsidR="00C4335B" w:rsidRPr="00F83671">
        <w:rPr>
          <w:rFonts w:ascii="Times New Roman" w:eastAsia="Calibri" w:hAnsi="Times New Roman" w:cs="Times New Roman"/>
          <w:sz w:val="28"/>
          <w:szCs w:val="28"/>
        </w:rPr>
        <w:t>6 320 000,0 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  <w:r w:rsidR="00202304" w:rsidRPr="00F836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(то есть превысила стоимость, установленную Программой), что стало препятствием в получении Письма ГРБС.</w:t>
      </w:r>
    </w:p>
    <w:p w:rsidR="003A3335" w:rsidRPr="00F83671" w:rsidRDefault="0079604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В</w:t>
      </w:r>
      <w:r w:rsidR="0055557D" w:rsidRPr="00F83671"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3A3335" w:rsidRPr="00F83671">
        <w:rPr>
          <w:rFonts w:ascii="Times New Roman" w:eastAsia="Calibri" w:hAnsi="Times New Roman" w:cs="Times New Roman"/>
          <w:sz w:val="28"/>
          <w:szCs w:val="28"/>
        </w:rPr>
        <w:t>ООО «Базис» обратился в суд с требованием расторжения муниципального контракта на выполнение проектно-изыскательск</w:t>
      </w:r>
      <w:r w:rsidR="0016485F" w:rsidRPr="00F83671">
        <w:rPr>
          <w:rFonts w:ascii="Times New Roman" w:eastAsia="Calibri" w:hAnsi="Times New Roman" w:cs="Times New Roman"/>
          <w:sz w:val="28"/>
          <w:szCs w:val="28"/>
        </w:rPr>
        <w:t>их работ</w:t>
      </w:r>
      <w:r w:rsidR="003A3335" w:rsidRPr="00F83671">
        <w:rPr>
          <w:rFonts w:ascii="Times New Roman" w:eastAsia="Calibri" w:hAnsi="Times New Roman" w:cs="Times New Roman"/>
          <w:sz w:val="28"/>
          <w:szCs w:val="28"/>
        </w:rPr>
        <w:t xml:space="preserve"> и получения оплаты за фактически выполненные работы в сумме </w:t>
      </w:r>
      <w:r w:rsidR="00B26F33">
        <w:rPr>
          <w:rFonts w:ascii="Times New Roman" w:eastAsia="Calibri" w:hAnsi="Times New Roman" w:cs="Times New Roman"/>
          <w:sz w:val="28"/>
          <w:szCs w:val="28"/>
        </w:rPr>
        <w:br/>
      </w:r>
      <w:r w:rsidR="003A3335" w:rsidRPr="00F83671">
        <w:rPr>
          <w:rFonts w:ascii="Times New Roman" w:eastAsia="Calibri" w:hAnsi="Times New Roman" w:cs="Times New Roman"/>
          <w:sz w:val="28"/>
          <w:szCs w:val="28"/>
        </w:rPr>
        <w:t xml:space="preserve">40 596,86502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5D078E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5D078E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  <w:r w:rsidR="003A3335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11.11.2024 получено заключение эксперта по результатам судебной строительно-технической экспертизы по иску ООО «БАЗИС» к администрации городского округа Тольятти, по результатам которой было выявлено, что: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представленная на исследования проектная документация не соответствует требованиям муниципального контракта в части состава выполненной документации;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согласно представленным на исследование материалам установлено, что работы по муниципальному контракту выполнены не в полном объеме;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дату производства исследования представленная проектная документация не имеет потребительскую ценность для заказчика работ по муниципальному контакту в виду незавершенности, но может быть использована для дальнейшего проектирования.</w:t>
      </w:r>
    </w:p>
    <w:p w:rsidR="003A3335" w:rsidRPr="00F83671" w:rsidRDefault="003A3335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Судебное заседание</w:t>
      </w:r>
      <w:r w:rsidR="00274745" w:rsidRPr="00F83671">
        <w:rPr>
          <w:rFonts w:ascii="Times New Roman" w:eastAsia="Calibri" w:hAnsi="Times New Roman" w:cs="Times New Roman"/>
          <w:sz w:val="28"/>
          <w:szCs w:val="28"/>
        </w:rPr>
        <w:t xml:space="preserve"> было назначено на 20 февраля 2025 года</w:t>
      </w:r>
      <w:r w:rsidR="001271BF" w:rsidRPr="00F83671">
        <w:rPr>
          <w:rFonts w:ascii="Times New Roman" w:eastAsia="Calibri" w:hAnsi="Times New Roman" w:cs="Times New Roman"/>
          <w:sz w:val="28"/>
          <w:szCs w:val="28"/>
        </w:rPr>
        <w:t>. О</w:t>
      </w:r>
      <w:r w:rsidR="00274745" w:rsidRPr="00F83671">
        <w:rPr>
          <w:rFonts w:ascii="Times New Roman" w:eastAsia="Calibri" w:hAnsi="Times New Roman" w:cs="Times New Roman"/>
          <w:sz w:val="28"/>
          <w:szCs w:val="28"/>
        </w:rPr>
        <w:t xml:space="preserve">пределением суда </w:t>
      </w:r>
      <w:r w:rsidR="001271BF" w:rsidRPr="00F83671">
        <w:rPr>
          <w:rFonts w:ascii="Times New Roman" w:eastAsia="Calibri" w:hAnsi="Times New Roman" w:cs="Times New Roman"/>
          <w:sz w:val="28"/>
          <w:szCs w:val="28"/>
        </w:rPr>
        <w:t xml:space="preserve">от 20.02.2025 заседание </w:t>
      </w:r>
      <w:r w:rsidR="00274745" w:rsidRPr="00F83671">
        <w:rPr>
          <w:rFonts w:ascii="Times New Roman" w:eastAsia="Calibri" w:hAnsi="Times New Roman" w:cs="Times New Roman"/>
          <w:sz w:val="28"/>
          <w:szCs w:val="28"/>
        </w:rPr>
        <w:t>перенесено на 01 апреля 2025 года в связи с необходимостью допроса эксперта.</w:t>
      </w:r>
    </w:p>
    <w:p w:rsidR="00AD527C" w:rsidRDefault="00AD527C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671" w:rsidRDefault="00F83671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D29" w:rsidRDefault="00962D29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D29" w:rsidRDefault="00962D29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D29" w:rsidRDefault="00962D29" w:rsidP="00F83671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Приоритет (2) «Человеческий потенциал»</w:t>
      </w:r>
    </w:p>
    <w:p w:rsidR="008415A7" w:rsidRDefault="008415A7" w:rsidP="00F83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Задача 2. Обеспечение качественного общего образования, формирование навыков и грамотности </w:t>
      </w:r>
      <w:r w:rsidRPr="00F8367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XXI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века, создание мотивирующей среды, расширение возможностей для участия школьников в олимпиадах различного уровня</w:t>
      </w:r>
    </w:p>
    <w:p w:rsidR="009E5E5A" w:rsidRPr="00F83671" w:rsidRDefault="009E5E5A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5E5A" w:rsidRPr="00F83671" w:rsidRDefault="009E5E5A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83671">
        <w:rPr>
          <w:rFonts w:ascii="Times New Roman" w:eastAsia="Calibri" w:hAnsi="Times New Roman" w:cs="Times New Roman"/>
          <w:iCs/>
          <w:sz w:val="28"/>
          <w:szCs w:val="28"/>
        </w:rPr>
        <w:t xml:space="preserve">2.1. </w:t>
      </w:r>
      <w:r w:rsidR="00C46FB1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общего образования по месту жительства</w:t>
      </w:r>
    </w:p>
    <w:p w:rsidR="00C46FB1" w:rsidRPr="00F83671" w:rsidRDefault="00C46FB1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B5C03" w:rsidRPr="00F83671" w:rsidRDefault="00BA0A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>Концессионным</w:t>
      </w:r>
      <w:r w:rsidR="00101F1C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соглашение</w:t>
      </w:r>
      <w:r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>м, заключенным</w:t>
      </w:r>
      <w:r w:rsidR="00101F1C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с ООО «ПроШкола №</w:t>
      </w:r>
      <w:r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6» 17.06.2022</w:t>
      </w:r>
      <w:r w:rsidR="00DA094D"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срок</w:t>
      </w:r>
      <w:r w:rsidR="001E4F38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>ом</w:t>
      </w:r>
      <w:r w:rsidR="00101F1C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создания объекта</w:t>
      </w:r>
      <w:r w:rsidR="001E4F38" w:rsidRPr="00F83671">
        <w:rPr>
          <w:rFonts w:ascii="Times New Roman" w:eastAsia="Calibri" w:hAnsi="Times New Roman" w:cs="Times New Roman"/>
          <w:iCs/>
          <w:sz w:val="28"/>
          <w:szCs w:val="28"/>
        </w:rPr>
        <w:t xml:space="preserve"> «Общеобразовательная школа на 675 мест в 18 квар</w:t>
      </w:r>
      <w:r w:rsidR="00DA094D">
        <w:rPr>
          <w:rFonts w:ascii="Times New Roman" w:eastAsia="Calibri" w:hAnsi="Times New Roman" w:cs="Times New Roman"/>
          <w:iCs/>
          <w:sz w:val="28"/>
          <w:szCs w:val="28"/>
        </w:rPr>
        <w:t>тале Автозаводского района г.о.</w:t>
      </w:r>
      <w:r w:rsidR="001E4F38" w:rsidRPr="00F83671">
        <w:rPr>
          <w:rFonts w:ascii="Times New Roman" w:eastAsia="Calibri" w:hAnsi="Times New Roman" w:cs="Times New Roman"/>
          <w:iCs/>
          <w:sz w:val="28"/>
          <w:szCs w:val="28"/>
        </w:rPr>
        <w:t>Тольятти»</w:t>
      </w:r>
      <w:r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был</w:t>
      </w:r>
      <w:r w:rsidR="001E4F38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>о определено</w:t>
      </w:r>
      <w:r w:rsidR="00101F1C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31.12.2023</w:t>
      </w:r>
      <w:r w:rsidR="001E4F38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>. Однако далее указанный</w:t>
      </w:r>
      <w:r w:rsidR="009B5C03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срок был</w:t>
      </w:r>
      <w:r w:rsidR="001E4F38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изменен</w:t>
      </w:r>
      <w:r w:rsidR="00101F1C" w:rsidRPr="00F836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на 31.12.2024.</w:t>
      </w:r>
      <w:r w:rsidR="00101F1C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C03" w:rsidRPr="00F83671">
        <w:rPr>
          <w:rFonts w:ascii="Times New Roman" w:eastAsia="Calibri" w:hAnsi="Times New Roman" w:cs="Times New Roman"/>
          <w:sz w:val="28"/>
          <w:szCs w:val="28"/>
        </w:rPr>
        <w:t>Причиной переноса срока явились:</w:t>
      </w:r>
    </w:p>
    <w:p w:rsidR="001D7201" w:rsidRPr="00F83671" w:rsidRDefault="00EE7BD7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61B6" w:rsidRPr="00F83671">
        <w:rPr>
          <w:rFonts w:ascii="Times New Roman" w:eastAsia="Calibri" w:hAnsi="Times New Roman" w:cs="Times New Roman"/>
          <w:sz w:val="28"/>
          <w:szCs w:val="28"/>
        </w:rPr>
        <w:t>двукратная</w:t>
      </w:r>
      <w:r w:rsidR="001D7201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E5A" w:rsidRPr="00F83671">
        <w:rPr>
          <w:rFonts w:ascii="Times New Roman" w:eastAsia="Calibri" w:hAnsi="Times New Roman" w:cs="Times New Roman"/>
          <w:sz w:val="28"/>
          <w:szCs w:val="28"/>
        </w:rPr>
        <w:t>смена генп</w:t>
      </w:r>
      <w:r w:rsidR="009B5C03" w:rsidRPr="00F83671">
        <w:rPr>
          <w:rFonts w:ascii="Times New Roman" w:eastAsia="Calibri" w:hAnsi="Times New Roman" w:cs="Times New Roman"/>
          <w:sz w:val="28"/>
          <w:szCs w:val="28"/>
        </w:rPr>
        <w:t>одрядной организации</w:t>
      </w:r>
      <w:r w:rsidR="001D7201" w:rsidRPr="00F83671">
        <w:rPr>
          <w:rFonts w:ascii="Times New Roman" w:eastAsia="Calibri" w:hAnsi="Times New Roman" w:cs="Times New Roman"/>
          <w:sz w:val="28"/>
          <w:szCs w:val="28"/>
        </w:rPr>
        <w:t xml:space="preserve"> вследствие</w:t>
      </w:r>
      <w:r w:rsidR="009B5C03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201" w:rsidRPr="00F83671">
        <w:rPr>
          <w:rFonts w:ascii="Times New Roman" w:eastAsia="Calibri" w:hAnsi="Times New Roman" w:cs="Times New Roman"/>
          <w:sz w:val="28"/>
          <w:szCs w:val="28"/>
        </w:rPr>
        <w:t>неисполнения</w:t>
      </w:r>
      <w:r w:rsidR="009E5E5A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201" w:rsidRPr="00F83671">
        <w:rPr>
          <w:rFonts w:ascii="Times New Roman" w:eastAsia="Calibri" w:hAnsi="Times New Roman" w:cs="Times New Roman"/>
          <w:sz w:val="28"/>
          <w:szCs w:val="28"/>
        </w:rPr>
        <w:t xml:space="preserve">генподрядчиком </w:t>
      </w:r>
      <w:r w:rsidR="009E5E5A" w:rsidRPr="00F83671">
        <w:rPr>
          <w:rFonts w:ascii="Times New Roman" w:eastAsia="Calibri" w:hAnsi="Times New Roman" w:cs="Times New Roman"/>
          <w:sz w:val="28"/>
          <w:szCs w:val="28"/>
        </w:rPr>
        <w:t xml:space="preserve">договорных обязательств; </w:t>
      </w:r>
    </w:p>
    <w:p w:rsidR="009E5E5A" w:rsidRPr="00F83671" w:rsidRDefault="00EE7BD7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D7201" w:rsidRPr="00F83671">
        <w:rPr>
          <w:rFonts w:ascii="Times New Roman" w:eastAsia="Calibri" w:hAnsi="Times New Roman" w:cs="Times New Roman"/>
          <w:sz w:val="28"/>
          <w:szCs w:val="28"/>
        </w:rPr>
        <w:t>приостановка работ по проектированию вследствие наличия обременения земельного участка</w:t>
      </w:r>
      <w:r w:rsidR="00481A12" w:rsidRPr="00F83671">
        <w:rPr>
          <w:rFonts w:ascii="Times New Roman" w:eastAsia="Calibri" w:hAnsi="Times New Roman" w:cs="Times New Roman"/>
          <w:sz w:val="28"/>
          <w:szCs w:val="28"/>
        </w:rPr>
        <w:t xml:space="preserve"> линейным объектом (ЛЭП), а также отсутствия кадастрового учета частей земельного участка, ранее, находившихся под опорами ЛЭП.</w:t>
      </w:r>
    </w:p>
    <w:p w:rsidR="008915A1" w:rsidRPr="00F83671" w:rsidRDefault="00EE7BD7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По состоянию на 31.12.2024 генеральным п</w:t>
      </w:r>
      <w:r w:rsidR="009E5E5A" w:rsidRPr="00F83671">
        <w:rPr>
          <w:rFonts w:ascii="Times New Roman" w:eastAsia="Calibri" w:hAnsi="Times New Roman" w:cs="Times New Roman"/>
          <w:bCs/>
          <w:sz w:val="28"/>
          <w:szCs w:val="28"/>
        </w:rPr>
        <w:t>одрядчик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ом выступает</w:t>
      </w:r>
      <w:r w:rsidR="009E5E5A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ООО «Стройинжиниринг» (договор ПИР и СМР от 18.10.2023).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E5E5A" w:rsidRPr="00F83671">
        <w:rPr>
          <w:rFonts w:ascii="Times New Roman" w:eastAsia="Calibri" w:hAnsi="Times New Roman" w:cs="Times New Roman"/>
          <w:bCs/>
          <w:sz w:val="28"/>
          <w:szCs w:val="28"/>
        </w:rPr>
        <w:t>Технический заказчик: ФАУ «РосКапСтрой».</w:t>
      </w:r>
      <w:r w:rsidR="00DC182D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915A1" w:rsidRPr="00F83671">
        <w:rPr>
          <w:rFonts w:ascii="Times New Roman" w:eastAsia="Calibri" w:hAnsi="Times New Roman" w:cs="Times New Roman"/>
          <w:sz w:val="28"/>
          <w:szCs w:val="28"/>
        </w:rPr>
        <w:t>Заключены все необходимые договоры на технологические присоединения.</w:t>
      </w:r>
    </w:p>
    <w:p w:rsidR="008915A1" w:rsidRPr="00F83671" w:rsidRDefault="009E5E5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Техническая готовность</w:t>
      </w:r>
      <w:r w:rsidR="008915A1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на конец отчетного периода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составляет 51</w:t>
      </w:r>
      <w:r w:rsidR="00DC182D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</w:p>
    <w:p w:rsidR="009E5E5A" w:rsidRPr="00F83671" w:rsidRDefault="009E5E5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Заказчиком </w:t>
      </w:r>
      <w:r w:rsidR="001069EE" w:rsidRPr="00F83671">
        <w:rPr>
          <w:rFonts w:ascii="Times New Roman" w:eastAsia="Calibri" w:hAnsi="Times New Roman" w:cs="Times New Roman"/>
          <w:sz w:val="28"/>
          <w:szCs w:val="28"/>
        </w:rPr>
        <w:t xml:space="preserve">в отчетном периоде </w:t>
      </w:r>
      <w:r w:rsidRPr="00F83671">
        <w:rPr>
          <w:rFonts w:ascii="Times New Roman" w:eastAsia="Calibri" w:hAnsi="Times New Roman" w:cs="Times New Roman"/>
          <w:sz w:val="28"/>
          <w:szCs w:val="28"/>
        </w:rPr>
        <w:t>фактически оплачено по договору ПИР и СМР 286 </w:t>
      </w:r>
      <w:r w:rsidR="001069EE" w:rsidRPr="00F83671">
        <w:rPr>
          <w:rFonts w:ascii="Times New Roman" w:eastAsia="Calibri" w:hAnsi="Times New Roman" w:cs="Times New Roman"/>
          <w:sz w:val="28"/>
          <w:szCs w:val="28"/>
        </w:rPr>
        <w:t>099,183 тыс. рублей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за счет сре</w:t>
      </w:r>
      <w:r w:rsidR="001069EE" w:rsidRPr="00F83671">
        <w:rPr>
          <w:rFonts w:ascii="Times New Roman" w:eastAsia="Calibri" w:hAnsi="Times New Roman" w:cs="Times New Roman"/>
          <w:sz w:val="28"/>
          <w:szCs w:val="28"/>
        </w:rPr>
        <w:t>дств капитального гранта.</w:t>
      </w:r>
    </w:p>
    <w:p w:rsidR="009E5E5A" w:rsidRPr="00F83671" w:rsidRDefault="000677E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Проблемами строительства объекта в отчетном периоде являлись:</w:t>
      </w:r>
    </w:p>
    <w:p w:rsidR="009E5E5A" w:rsidRPr="00F83671" w:rsidRDefault="009E5E5A" w:rsidP="00F83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421C5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низкие темпы строительно-монтажных работ</w:t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E5E5A" w:rsidRPr="00F83671" w:rsidRDefault="000421C5" w:rsidP="00F83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неполное финансирование со стороны заказчика</w:t>
      </w:r>
      <w:r w:rsidR="002D6531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D6531" w:rsidRPr="00F83671">
        <w:rPr>
          <w:rFonts w:ascii="Times New Roman" w:eastAsia="Calibri" w:hAnsi="Times New Roman" w:cs="Times New Roman"/>
          <w:sz w:val="28"/>
          <w:szCs w:val="28"/>
        </w:rPr>
        <w:t xml:space="preserve">стоимость выполненных СМР (по форме КС-3) составила 308 876,818 тыс. рублей, из которых </w:t>
      </w:r>
      <w:r w:rsidR="00375D9F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заказчиком принято</w:t>
      </w:r>
      <w:r w:rsidR="003D6593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СМР</w:t>
      </w:r>
      <w:r w:rsidR="00375D9F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на</w:t>
      </w:r>
      <w:r w:rsidR="00D5628D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89 </w:t>
      </w:r>
      <w:r w:rsidR="009E5E5A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072 млн. рублей (согласно отчету концессионера, представленному в Минстрой СО)</w:t>
      </w:r>
      <w:r w:rsidR="009E5E5A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80690" w:rsidRPr="00F83671" w:rsidRDefault="009E5E5A" w:rsidP="00F83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418B2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разрешений на производство</w:t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 w:rsidR="00C418B2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стороны</w:t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«СамЭск» и АО «ТЕВИС» в рамках исполнения договоров технологического присоединения (электроснабжение, водоотведение, водоснабжение);</w:t>
      </w:r>
    </w:p>
    <w:p w:rsidR="000421C5" w:rsidRPr="00F83671" w:rsidRDefault="000421C5" w:rsidP="00F83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- увеличение стоимости строительства по итогу получения </w:t>
      </w:r>
      <w:r w:rsidR="00280690" w:rsidRPr="00F83671">
        <w:rPr>
          <w:rFonts w:ascii="Times New Roman" w:eastAsia="Calibri" w:hAnsi="Times New Roman" w:cs="Times New Roman"/>
          <w:sz w:val="28"/>
          <w:szCs w:val="28"/>
        </w:rPr>
        <w:t>положительного заключения государственной экспертизы на проектную документацию (</w:t>
      </w:r>
      <w:r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ПЗГЭ</w:t>
      </w:r>
      <w:r w:rsidR="003A3335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)</w:t>
      </w:r>
      <w:r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от 0</w:t>
      </w:r>
      <w:r w:rsidR="001F7876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5.07.2024,</w:t>
      </w:r>
      <w:r w:rsidR="00280690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при этом</w:t>
      </w:r>
      <w:r w:rsidR="001F7876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280690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по состоянию на конец отчетного периода </w:t>
      </w:r>
      <w:r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отсутствует решение Правительства СО о признании факта наступления Особого Обстоятельства</w:t>
      </w:r>
      <w:r w:rsidR="003D6593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,</w:t>
      </w:r>
      <w:r w:rsidR="00490F7B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которое</w:t>
      </w:r>
      <w:r w:rsidR="003D6593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является основанием для увеличения стоимости работ в</w:t>
      </w:r>
      <w:r w:rsidR="001F7876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с</w:t>
      </w:r>
      <w:r w:rsidR="003D6593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оответствии с</w:t>
      </w:r>
      <w:r w:rsidR="001F7876" w:rsidRPr="00F83671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концессионным соглашением;</w:t>
      </w:r>
    </w:p>
    <w:p w:rsidR="00F33CB2" w:rsidRPr="00F83671" w:rsidRDefault="009E5E5A" w:rsidP="00F83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необходимость переноса ввода в эксплуатацию на 2025 год (в Минпросвещение России направлено соответствующе</w:t>
      </w:r>
      <w:r w:rsidR="00C74E6C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ходатайство, однако дополнительное соглашение к концессионному соглашению о</w:t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перенос</w:t>
      </w:r>
      <w:r w:rsidR="00C74E6C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срока</w:t>
      </w:r>
      <w:r w:rsidR="00C74E6C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создания объекта на 31.12.2024 отсутствует</w:t>
      </w:r>
      <w:r w:rsidR="001F7876" w:rsidRPr="00F8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33CB2" w:rsidRPr="00F83671" w:rsidRDefault="00F33CB2" w:rsidP="00F8367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На объект «Строительство школы на 1600 мест</w:t>
      </w:r>
      <w:r w:rsidR="004564B6" w:rsidRPr="00F83671">
        <w:rPr>
          <w:rFonts w:ascii="Times New Roman" w:eastAsia="Calibri" w:hAnsi="Times New Roman" w:cs="Times New Roman"/>
          <w:sz w:val="28"/>
          <w:szCs w:val="28"/>
        </w:rPr>
        <w:t xml:space="preserve"> в 20 квартале Автозаво</w:t>
      </w:r>
      <w:r w:rsidR="00DA094D">
        <w:rPr>
          <w:rFonts w:ascii="Times New Roman" w:eastAsia="Calibri" w:hAnsi="Times New Roman" w:cs="Times New Roman"/>
          <w:sz w:val="28"/>
          <w:szCs w:val="28"/>
        </w:rPr>
        <w:t>дского района г.о</w:t>
      </w:r>
      <w:proofErr w:type="gramStart"/>
      <w:r w:rsidR="00DA094D">
        <w:rPr>
          <w:rFonts w:ascii="Times New Roman" w:eastAsia="Calibri" w:hAnsi="Times New Roman" w:cs="Times New Roman"/>
          <w:sz w:val="28"/>
          <w:szCs w:val="28"/>
        </w:rPr>
        <w:t>.</w:t>
      </w:r>
      <w:r w:rsidR="004564B6" w:rsidRPr="00F83671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="004564B6" w:rsidRPr="00F83671">
        <w:rPr>
          <w:rFonts w:ascii="Times New Roman" w:eastAsia="Calibri" w:hAnsi="Times New Roman" w:cs="Times New Roman"/>
          <w:sz w:val="28"/>
          <w:szCs w:val="28"/>
        </w:rPr>
        <w:t>ольятти</w:t>
      </w:r>
      <w:r w:rsidR="00DA094D">
        <w:rPr>
          <w:rFonts w:ascii="Times New Roman" w:eastAsia="Calibri" w:hAnsi="Times New Roman" w:cs="Times New Roman"/>
          <w:sz w:val="28"/>
          <w:szCs w:val="28"/>
        </w:rPr>
        <w:t>» расходы бюджета г.о.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Тольятти в 2024 году составили 721,9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  <w:r w:rsidRPr="00F83671">
        <w:rPr>
          <w:rFonts w:ascii="Times New Roman" w:eastAsia="Calibri" w:hAnsi="Times New Roman" w:cs="Times New Roman"/>
          <w:sz w:val="28"/>
          <w:szCs w:val="28"/>
        </w:rPr>
        <w:t>, которые были направлены на оплату ранее принятых обязательств по муниципальному контракту, заключенному с ООО «Стройконтроль» на осуществление строительного контроля (по судебному акту).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Формирование у учащихся навыков и компетенций </w:t>
      </w:r>
      <w:r w:rsidRPr="00F83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E4BC2" w:rsidRPr="00F83671" w:rsidRDefault="000E4BC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Во всех МБУ, подведомственных департаменту образования администрации городского округа Тольятти, в 5-9 классах в рамках внеурочной деятельности реализуется курс «Функциональная грамотность: учимся для жизни», включающий модули «Математическая грамотность», «Читательская грамотность», «Естественно-научная грамотность», «Финансовая грамотность», «Глобальные компетенции», «Креативное мышление»; в 7 (8) классах в рамках внеурочной деятельности реализуется курс «Цифровая гигиена».</w:t>
      </w:r>
    </w:p>
    <w:p w:rsidR="000E4BC2" w:rsidRPr="00F83671" w:rsidRDefault="000E4BC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r w:rsidR="00DA5D8F">
        <w:rPr>
          <w:rFonts w:ascii="Times New Roman" w:eastAsia="Calibri" w:hAnsi="Times New Roman" w:cs="Times New Roman"/>
          <w:sz w:val="28"/>
          <w:szCs w:val="28"/>
          <w:lang w:eastAsia="ru-RU"/>
        </w:rPr>
        <w:t>ля обучающихся 4-8 классов г.о</w:t>
      </w:r>
      <w:proofErr w:type="gramStart"/>
      <w:r w:rsidR="00DA5D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proofErr w:type="gramEnd"/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ольятти, справившихся с практико-ориентированными заданиями в рамках ВПР, направленными на выявление уровня математической, читательской, естественно-научной грамотности, в 2024 году составила 60,5%.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E574D2" w:rsidRPr="00F83671" w:rsidRDefault="000E4BC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Создание совместно с работодателями-партнерами ТГУ профильных классов по химии, </w:t>
      </w:r>
      <w:proofErr w:type="gramStart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естественно-научным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инженерным направлениям для учащихся школ городского округа Тольятти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направлен на популяризацию химико-биологического профиля среди учащихся старших классов средни</w:t>
      </w:r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образовательных учреждений г.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Тольятти. При реализации проекта предусмотрены основные направления: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популярности химико-биологического профиля среди учащихся школ;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подготовки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химии и биологии в школах </w:t>
      </w:r>
      <w:proofErr w:type="spellStart"/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gramStart"/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выстраивание непрерывного процесса подготовки молодых специалистов по траектории «школа-университет-предприятие».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ПАО «ТОАЗ» и ГК «ЭкоВоз» созданы профильные классы в трёх школах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МБУ «Гимназия № 35» и МБУ «Школа № 41» химические классы совместно с ПАО «ТОАЗ».</w:t>
      </w:r>
    </w:p>
    <w:p w:rsidR="0061712A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МБУ «Школа № 90» - химические классы совместно с ПАО «ТОАЗ», экологический класс совместно с ГК «ЭкоВоз».</w:t>
      </w:r>
    </w:p>
    <w:p w:rsidR="0061712A" w:rsidRPr="00F83671" w:rsidRDefault="0061712A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hAnsi="Times New Roman" w:cs="Times New Roman"/>
          <w:sz w:val="28"/>
          <w:szCs w:val="28"/>
        </w:rPr>
        <w:lastRenderedPageBreak/>
        <w:t>В 2024 году реализованы следующие мероприяти</w:t>
      </w:r>
      <w:r w:rsidR="00DA5D8F">
        <w:rPr>
          <w:rFonts w:ascii="Times New Roman" w:hAnsi="Times New Roman" w:cs="Times New Roman"/>
          <w:sz w:val="28"/>
          <w:szCs w:val="28"/>
        </w:rPr>
        <w:t>я</w:t>
      </w:r>
      <w:r w:rsidRPr="00F83671">
        <w:rPr>
          <w:rFonts w:ascii="Times New Roman" w:hAnsi="Times New Roman" w:cs="Times New Roman"/>
          <w:sz w:val="28"/>
          <w:szCs w:val="28"/>
        </w:rPr>
        <w:t>: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rStyle w:val="20"/>
          <w:b w:val="0"/>
          <w:i w:val="0"/>
          <w:sz w:val="28"/>
          <w:szCs w:val="28"/>
        </w:rPr>
        <w:t>1. Проектирование болида «Формула студент» в центре машиностроения ИнМаш ПИШ «ГибридТех» ТГУ</w:t>
      </w:r>
      <w:r w:rsidRPr="00F83671">
        <w:rPr>
          <w:b/>
          <w:i/>
          <w:sz w:val="28"/>
          <w:szCs w:val="28"/>
        </w:rPr>
        <w:t xml:space="preserve"> (</w:t>
      </w:r>
      <w:r w:rsidRPr="00F83671">
        <w:rPr>
          <w:sz w:val="28"/>
          <w:szCs w:val="28"/>
        </w:rPr>
        <w:t>охват – 53 чел.). Участники познакомились с работой студенческого проекта, инфраструктурой центра машиностроения, освоили работу с CAD-программой «КОМПАС-3D»: построена 3D-модель детали по чертежу, а также осуществлена распечатка полученной модели с использованием 3D-принтера.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По результатам опроса практически все школьники (более 90 %) выразили заинтересованность в получении дальнейшего инженерного образования.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2</w:t>
      </w:r>
      <w:r w:rsidRPr="00F83671">
        <w:rPr>
          <w:b/>
          <w:i/>
          <w:sz w:val="28"/>
          <w:szCs w:val="28"/>
        </w:rPr>
        <w:t>. </w:t>
      </w:r>
      <w:r w:rsidRPr="00F83671">
        <w:rPr>
          <w:rStyle w:val="20"/>
          <w:b w:val="0"/>
          <w:i w:val="0"/>
          <w:sz w:val="28"/>
          <w:szCs w:val="28"/>
        </w:rPr>
        <w:t>Организация и проведение дня открытых дверей на базе ИнМаш ПИШ «ГибридТех» ТГУ</w:t>
      </w:r>
      <w:r w:rsidRPr="00F83671">
        <w:rPr>
          <w:sz w:val="28"/>
          <w:szCs w:val="28"/>
        </w:rPr>
        <w:t xml:space="preserve"> (охват – 110 чел. из 21 образовательного учреждения (далее – ОУ) </w:t>
      </w:r>
      <w:proofErr w:type="spellStart"/>
      <w:r w:rsidR="005D078E">
        <w:rPr>
          <w:sz w:val="28"/>
          <w:szCs w:val="28"/>
        </w:rPr>
        <w:t>г</w:t>
      </w:r>
      <w:proofErr w:type="gramStart"/>
      <w:r w:rsidR="005D078E">
        <w:rPr>
          <w:sz w:val="28"/>
          <w:szCs w:val="28"/>
        </w:rPr>
        <w:t>.Т</w:t>
      </w:r>
      <w:proofErr w:type="gramEnd"/>
      <w:r w:rsidR="005D078E">
        <w:rPr>
          <w:sz w:val="28"/>
          <w:szCs w:val="28"/>
        </w:rPr>
        <w:t>ольятти</w:t>
      </w:r>
      <w:proofErr w:type="spellEnd"/>
      <w:r w:rsidRPr="00F83671">
        <w:rPr>
          <w:sz w:val="28"/>
          <w:szCs w:val="28"/>
        </w:rPr>
        <w:t>). Школьники прослушали визионерскую лекцию заместителя директора Уни</w:t>
      </w:r>
      <w:r w:rsidR="00DA5D8F">
        <w:rPr>
          <w:sz w:val="28"/>
          <w:szCs w:val="28"/>
        </w:rPr>
        <w:t xml:space="preserve">верситета Группы «АВТОВАЗ» А.И. </w:t>
      </w:r>
      <w:r w:rsidRPr="00F83671">
        <w:rPr>
          <w:sz w:val="28"/>
          <w:szCs w:val="28"/>
        </w:rPr>
        <w:t>Манюхина о современных тенденциях и перспективах развития отрасли автомобилестроения. После лекции участники посетили научные лаборатории и центр машиностроения ТГУ, где смогли увидеть в действии новейшие технологии и разработки, в том числе в области лазерных технологий, познакомились с токарными, фрезеровочными, токарно-фрезерными станками, FDM и SLA 3</w:t>
      </w:r>
      <w:r w:rsidRPr="00F83671">
        <w:rPr>
          <w:sz w:val="28"/>
          <w:szCs w:val="28"/>
          <w:lang w:val="en-US"/>
        </w:rPr>
        <w:t>D</w:t>
      </w:r>
      <w:r w:rsidRPr="00F83671">
        <w:rPr>
          <w:sz w:val="28"/>
          <w:szCs w:val="28"/>
        </w:rPr>
        <w:t>-принтерами.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rStyle w:val="20"/>
          <w:b w:val="0"/>
          <w:i w:val="0"/>
          <w:sz w:val="28"/>
          <w:szCs w:val="28"/>
        </w:rPr>
        <w:t>3.</w:t>
      </w:r>
      <w:r w:rsidRPr="00F83671">
        <w:rPr>
          <w:rStyle w:val="20"/>
          <w:sz w:val="28"/>
          <w:szCs w:val="28"/>
        </w:rPr>
        <w:t> </w:t>
      </w:r>
      <w:r w:rsidRPr="00F83671">
        <w:rPr>
          <w:rStyle w:val="20"/>
          <w:b w:val="0"/>
          <w:i w:val="0"/>
          <w:sz w:val="28"/>
          <w:szCs w:val="28"/>
        </w:rPr>
        <w:t>Олимпиады уровня Российского совета олимпиад школьников: многопрофильная инженерная олимпиада «Звезда»</w:t>
      </w:r>
      <w:r w:rsidRPr="00F83671">
        <w:rPr>
          <w:sz w:val="28"/>
          <w:szCs w:val="28"/>
        </w:rPr>
        <w:t xml:space="preserve"> (охват – 234 чел. из </w:t>
      </w:r>
      <w:r w:rsidR="00B26F33">
        <w:rPr>
          <w:sz w:val="28"/>
          <w:szCs w:val="28"/>
        </w:rPr>
        <w:br/>
      </w:r>
      <w:r w:rsidRPr="00F83671">
        <w:rPr>
          <w:sz w:val="28"/>
          <w:szCs w:val="28"/>
        </w:rPr>
        <w:t xml:space="preserve">12 ОУ </w:t>
      </w:r>
      <w:proofErr w:type="spellStart"/>
      <w:r w:rsidR="005D078E">
        <w:rPr>
          <w:sz w:val="28"/>
          <w:szCs w:val="28"/>
        </w:rPr>
        <w:t>г</w:t>
      </w:r>
      <w:proofErr w:type="gramStart"/>
      <w:r w:rsidR="005D078E">
        <w:rPr>
          <w:sz w:val="28"/>
          <w:szCs w:val="28"/>
        </w:rPr>
        <w:t>.Т</w:t>
      </w:r>
      <w:proofErr w:type="gramEnd"/>
      <w:r w:rsidR="005D078E">
        <w:rPr>
          <w:sz w:val="28"/>
          <w:szCs w:val="28"/>
        </w:rPr>
        <w:t>ольятти</w:t>
      </w:r>
      <w:proofErr w:type="spellEnd"/>
      <w:r w:rsidRPr="00F83671">
        <w:rPr>
          <w:sz w:val="28"/>
          <w:szCs w:val="28"/>
        </w:rPr>
        <w:t xml:space="preserve">). 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Из 230 участников, попробовавших свои силы на олимпиаде по направлениям «Естественные науки» и «Техника и технологии», 70 % высказали заинтересованность в получении инженерного образования.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rStyle w:val="20"/>
          <w:b w:val="0"/>
          <w:i w:val="0"/>
          <w:sz w:val="28"/>
          <w:szCs w:val="28"/>
        </w:rPr>
        <w:t>4.</w:t>
      </w:r>
      <w:r w:rsidRPr="00F83671">
        <w:rPr>
          <w:rStyle w:val="20"/>
          <w:sz w:val="28"/>
          <w:szCs w:val="28"/>
        </w:rPr>
        <w:t> </w:t>
      </w:r>
      <w:r w:rsidRPr="00F83671">
        <w:rPr>
          <w:rStyle w:val="20"/>
          <w:b w:val="0"/>
          <w:i w:val="0"/>
          <w:sz w:val="28"/>
          <w:szCs w:val="28"/>
        </w:rPr>
        <w:t>Образовательный интенсив по инженерным направлениям на базе школ для учащихся 8–11-х классов</w:t>
      </w:r>
      <w:r w:rsidRPr="00F83671">
        <w:rPr>
          <w:sz w:val="28"/>
          <w:szCs w:val="28"/>
        </w:rPr>
        <w:t xml:space="preserve"> (охват – 263 чел. из 8 ОУ </w:t>
      </w:r>
      <w:proofErr w:type="spellStart"/>
      <w:r w:rsidR="005D078E">
        <w:rPr>
          <w:sz w:val="28"/>
          <w:szCs w:val="28"/>
        </w:rPr>
        <w:t>г</w:t>
      </w:r>
      <w:proofErr w:type="gramStart"/>
      <w:r w:rsidR="005D078E">
        <w:rPr>
          <w:sz w:val="28"/>
          <w:szCs w:val="28"/>
        </w:rPr>
        <w:t>.Т</w:t>
      </w:r>
      <w:proofErr w:type="gramEnd"/>
      <w:r w:rsidR="005D078E">
        <w:rPr>
          <w:sz w:val="28"/>
          <w:szCs w:val="28"/>
        </w:rPr>
        <w:t>ольятти</w:t>
      </w:r>
      <w:proofErr w:type="spellEnd"/>
      <w:r w:rsidRPr="00F83671">
        <w:rPr>
          <w:sz w:val="28"/>
          <w:szCs w:val="28"/>
        </w:rPr>
        <w:t>).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В программе интенсива были лекции и практические занятия по темам «Основы работы с CAD-программами», «Создание цифрового двойника детали», «3D-прототипирование», «Особенности инжиниринга в проектной работе».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rStyle w:val="20"/>
          <w:b w:val="0"/>
          <w:i w:val="0"/>
          <w:sz w:val="28"/>
          <w:szCs w:val="28"/>
        </w:rPr>
        <w:t>5. Организация школьных проектных команд через платформу «Проектива»</w:t>
      </w:r>
      <w:r w:rsidRPr="00F83671">
        <w:rPr>
          <w:b/>
          <w:bCs/>
          <w:i/>
          <w:iCs/>
          <w:sz w:val="28"/>
          <w:szCs w:val="28"/>
        </w:rPr>
        <w:t xml:space="preserve"> </w:t>
      </w:r>
      <w:r w:rsidRPr="00F83671">
        <w:rPr>
          <w:sz w:val="28"/>
          <w:szCs w:val="28"/>
        </w:rPr>
        <w:t xml:space="preserve">(охват – 83 чел. из 23 ОУ </w:t>
      </w:r>
      <w:proofErr w:type="spellStart"/>
      <w:r w:rsidR="005D078E">
        <w:rPr>
          <w:sz w:val="28"/>
          <w:szCs w:val="28"/>
        </w:rPr>
        <w:t>г</w:t>
      </w:r>
      <w:proofErr w:type="gramStart"/>
      <w:r w:rsidR="005D078E">
        <w:rPr>
          <w:sz w:val="28"/>
          <w:szCs w:val="28"/>
        </w:rPr>
        <w:t>.Т</w:t>
      </w:r>
      <w:proofErr w:type="gramEnd"/>
      <w:r w:rsidR="005D078E">
        <w:rPr>
          <w:sz w:val="28"/>
          <w:szCs w:val="28"/>
        </w:rPr>
        <w:t>ольятти</w:t>
      </w:r>
      <w:proofErr w:type="spellEnd"/>
      <w:r w:rsidRPr="00F83671">
        <w:rPr>
          <w:sz w:val="28"/>
          <w:szCs w:val="28"/>
        </w:rPr>
        <w:t xml:space="preserve">). Учащиеся 10-х классов городских школ занимались разработкой технических проектов по кейсам АО «АВТОВАЗ». Для этого они были разделены на команды, и к каждой из них был прикреплен студент-куратор. В итоге было предложено </w:t>
      </w:r>
      <w:r w:rsidR="00B26F33">
        <w:rPr>
          <w:sz w:val="28"/>
          <w:szCs w:val="28"/>
        </w:rPr>
        <w:br/>
      </w:r>
      <w:r w:rsidRPr="00F83671">
        <w:rPr>
          <w:sz w:val="28"/>
          <w:szCs w:val="28"/>
        </w:rPr>
        <w:t>10 проектных решений. Победила команда, предложившая конструкцию болида для зимних гонок. Команде-победителю вручили денежный приз, также призами были отмечены лучшие участники каждой из команд. 90 % участников выразили желание продолжить работу в проектных командах в рамках весенней школы в 2025 г.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 xml:space="preserve">С целью ранней профориентации и популяризации инженерного образования «Детским университетом „Эйнштейн“» ТГУ совместно с </w:t>
      </w:r>
      <w:r w:rsidRPr="00F83671">
        <w:rPr>
          <w:sz w:val="28"/>
          <w:szCs w:val="28"/>
        </w:rPr>
        <w:lastRenderedPageBreak/>
        <w:t xml:space="preserve">сотрудниками ПИШ ТГУ </w:t>
      </w:r>
      <w:r w:rsidRPr="00F83671">
        <w:rPr>
          <w:bCs/>
          <w:iCs/>
          <w:sz w:val="28"/>
          <w:szCs w:val="28"/>
        </w:rPr>
        <w:t>разработаны и реализованы программы предпрофессионального развития: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– III Школа Эйнштейнов «Школа юного инженера» (весна 2024 г.). Охват – 56 чел.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Школьники 1–6-х классов занимались экспериментально-исследовательской, конструкторской и изобретательской деятельностью. За смену ребята разработали и защитили свои первые технические проекты – автомобиля будущего. Работа над проектными решениями велась при поддержке наставников – сотрудников АО «АВТОВАЗ»;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 xml:space="preserve">– IV Школа Эйнштейнов предусматривала четыре образовательных трека: «Школа юных инженеров. Проектная инженерия», «Школа юных инженеров. Химики-изобретатели», «Школа дизайна», «IT-школа» (лето </w:t>
      </w:r>
      <w:r w:rsidR="00B26F33">
        <w:rPr>
          <w:sz w:val="28"/>
          <w:szCs w:val="28"/>
        </w:rPr>
        <w:br/>
        <w:t xml:space="preserve">2024 </w:t>
      </w:r>
      <w:r w:rsidRPr="00F83671">
        <w:rPr>
          <w:sz w:val="28"/>
          <w:szCs w:val="28"/>
        </w:rPr>
        <w:t>г.). Охват – 78 чел.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Для учеников 1–6-х классов были проведены мастер-кассы по командообразованию, ознакомительные экскурсии по инновационным лабораториям ТГУ, мастер-классы по 3D-сканированию и созданию собственных 3D-моделей, лекции по реинжинирингу и проектированию, созданию MVP-проекта;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– V Школа Эйнштейнов «Школа юного инженера. Изобретения Leonardo da Vinci» (осень 2024 г.). Охват – 61 чел.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Программа школы включала мастер-классы по сборке конструкторов по эскизам изобретателя, создание Витрувианского человека, занятия по изучению английского и итальянского языков, спортивные активности, интерактивные лекции, посещение знаменитых мест Самарской области в очках виртуальной реальности и экскурсию на предприятие</w:t>
      </w:r>
      <w:hyperlink r:id="rId9">
        <w:r w:rsidRPr="00F83671">
          <w:rPr>
            <w:sz w:val="28"/>
            <w:szCs w:val="28"/>
          </w:rPr>
          <w:t xml:space="preserve"> ООО «Транспорт будущего»</w:t>
        </w:r>
      </w:hyperlink>
      <w:r w:rsidRPr="00F83671">
        <w:rPr>
          <w:sz w:val="28"/>
          <w:szCs w:val="28"/>
        </w:rPr>
        <w:t xml:space="preserve"> – крупнейшего в России производителя БПЛА. </w:t>
      </w:r>
    </w:p>
    <w:p w:rsidR="0061712A" w:rsidRPr="00F83671" w:rsidRDefault="0061712A" w:rsidP="00F83671">
      <w:pPr>
        <w:pStyle w:val="a6"/>
        <w:ind w:firstLine="709"/>
        <w:rPr>
          <w:sz w:val="28"/>
          <w:szCs w:val="28"/>
        </w:rPr>
      </w:pPr>
      <w:r w:rsidRPr="00F83671">
        <w:rPr>
          <w:sz w:val="28"/>
          <w:szCs w:val="28"/>
        </w:rPr>
        <w:t>В 2024 г. проведена рекламная кампания «Школа – вуз – предприятие» (размещение наружной рекламы, посты в соцсетях), благодаря чему увеличилось количество абитуриентов, поступивших на целевое обучение (2023 г. – 13 чел., 2024 г. – 19 чел.).</w:t>
      </w:r>
    </w:p>
    <w:p w:rsidR="0061712A" w:rsidRPr="00F83671" w:rsidRDefault="0061712A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2.8. Проведение образовательных интенсивов «STARTUPTEEN» для учащихся 8-х и 10-х классов (ежегодно)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FA5" w:rsidRPr="00F83671" w:rsidRDefault="00B15FA5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система вовлечения школьников и студентов СПО в сквозную проектную деятельность через проведение форсайт-сессий и хакатонов, с дальнейшим вовлечение их в проектную деятельность на цифровой платформе студенческой проектной деятельности – "ПРОЕКТИВА".</w:t>
      </w:r>
    </w:p>
    <w:p w:rsidR="00306A96" w:rsidRPr="00F83671" w:rsidRDefault="00B15FA5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весеннем семестре 2024 г. вместе со студентами очной формы к платформе подключили первокурсников, обучающихся онлайн очно-заочно и заочно, а также школьников и студентов Тольяттинской академии управления (ТАУ). </w:t>
      </w:r>
      <w:proofErr w:type="gramStart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31.12.2024 на платформе было 669 проектов и более 7,7 тыс. обучающихся (всех форм обучения), в том числе 137 школьников,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учащийся СПО, 99 студентов Тольяттинской академии управления,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 студента Самарского национального исследовательского университета имени академика С.П. Королева, а также 122 сотрудника ТГУ (97 из них – преподаватели) и 4 представителя индустриальных партнеров (руководители предложенных ими же проектов).</w:t>
      </w:r>
      <w:proofErr w:type="gramEnd"/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 Летний Наноград «Созвездие ТГУ»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работы с талантливой молодежью ТГУ участвует в проведении олимпиад различного уровня.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отборочном этапе многопрофильной инженерной олимпиады «Звезда» в 2023/24 уч. г. (ноябрь – декабрь) участвовали 13 411 учащихся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6–11-х классов (8 021 в 2022/23 уч. г.). В заключительный этап в 2024 г. (февраль – март) допущено 4 186 человек (3 008 в 2023 г.).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региональном олимпиадном марафоне (предметные олимпиады, которые проводятся на базе ТГУ) в 2023/24 уч. г. участвовали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1 998 учащихся 6–11-х классов из школ Самарской области.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г. проведена рекламная кампания «Школа – вуз – предприятие» (размещение наружной рекламы, посты в соцсетях), благодаря чему увеличилось количество абитуриентов, поступивших на целевое обучение (2023 г. – 13 чел., 2024 г. – 19 чел.).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вовлеченность школьников в проектные студенческие команды: 71 чел. в 2024 г. (63 чел. в 2023 г.).</w:t>
      </w:r>
    </w:p>
    <w:p w:rsidR="006679AB" w:rsidRPr="00F83671" w:rsidRDefault="006679A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университете «Эйнштейн» ТГУ за 12 месяцев 2024 г. прошли обучение 3 802 чел. (за аналогичный период 2023 г. – 2 381 чел., 2022 г. – 1 614 чел.).</w:t>
      </w:r>
    </w:p>
    <w:p w:rsidR="006630B1" w:rsidRDefault="006630B1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3.</w:t>
      </w:r>
      <w:r w:rsidRPr="00F836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sz w:val="28"/>
          <w:szCs w:val="28"/>
        </w:rPr>
        <w:t>Создание развитой сети дополнительного образования детей по различным направлениям спорта, творчества, учебы, изобретательства</w:t>
      </w:r>
    </w:p>
    <w:p w:rsidR="00306A96" w:rsidRPr="00F83671" w:rsidRDefault="00306A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A96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Реализация дополнительных образовательных программ в инженерной школе для учащихся школ </w:t>
      </w:r>
      <w:proofErr w:type="spellStart"/>
      <w:r w:rsidR="005D078E">
        <w:rPr>
          <w:rFonts w:ascii="Times New Roman" w:eastAsia="Calibri" w:hAnsi="Times New Roman" w:cs="Times New Roman"/>
          <w:bCs/>
          <w:sz w:val="28"/>
          <w:szCs w:val="28"/>
        </w:rPr>
        <w:t>г</w:t>
      </w:r>
      <w:proofErr w:type="gramStart"/>
      <w:r w:rsidR="005D078E">
        <w:rPr>
          <w:rFonts w:ascii="Times New Roman" w:eastAsia="Calibri" w:hAnsi="Times New Roman" w:cs="Times New Roman"/>
          <w:bCs/>
          <w:sz w:val="28"/>
          <w:szCs w:val="28"/>
        </w:rPr>
        <w:t>.Т</w:t>
      </w:r>
      <w:proofErr w:type="gramEnd"/>
      <w:r w:rsidR="005D078E">
        <w:rPr>
          <w:rFonts w:ascii="Times New Roman" w:eastAsia="Calibri" w:hAnsi="Times New Roman" w:cs="Times New Roman"/>
          <w:bCs/>
          <w:sz w:val="28"/>
          <w:szCs w:val="28"/>
        </w:rPr>
        <w:t>ольятти</w:t>
      </w:r>
      <w:proofErr w:type="spellEnd"/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В 2024 году был проведен образовательный интенсив по инженерным направлениям на базе школ для учащихся 8–11-х классов.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В программе интенсива были лекции и практические занятия по темам «Основы работы с CAD-программами», «Создание цифрового двойника детали», «3D-прототипирование», «Особенности инжиниринга в проектной работе».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Охват: 263 учащихся из 8 образовательных учреждений </w:t>
      </w:r>
      <w:proofErr w:type="spellStart"/>
      <w:r w:rsidR="005D078E">
        <w:rPr>
          <w:rFonts w:ascii="Times New Roman" w:eastAsia="Calibri" w:hAnsi="Times New Roman" w:cs="Times New Roman"/>
          <w:bCs/>
          <w:sz w:val="28"/>
          <w:szCs w:val="28"/>
        </w:rPr>
        <w:t>г</w:t>
      </w:r>
      <w:proofErr w:type="gramStart"/>
      <w:r w:rsidR="005D078E">
        <w:rPr>
          <w:rFonts w:ascii="Times New Roman" w:eastAsia="Calibri" w:hAnsi="Times New Roman" w:cs="Times New Roman"/>
          <w:bCs/>
          <w:sz w:val="28"/>
          <w:szCs w:val="28"/>
        </w:rPr>
        <w:t>.Т</w:t>
      </w:r>
      <w:proofErr w:type="gramEnd"/>
      <w:r w:rsidR="005D078E">
        <w:rPr>
          <w:rFonts w:ascii="Times New Roman" w:eastAsia="Calibri" w:hAnsi="Times New Roman" w:cs="Times New Roman"/>
          <w:bCs/>
          <w:sz w:val="28"/>
          <w:szCs w:val="28"/>
        </w:rPr>
        <w:t>ольятти</w:t>
      </w:r>
      <w:proofErr w:type="spellEnd"/>
      <w:r w:rsidRPr="00F8367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Также был проведен инженерный хакатон. Цель – развитие у учащихся 8–11-х классов интереса к инженерным направлениям подготовки, применение теоретических знаний на практике через решение инженерных кейсов. 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Проведен 21 отборочный хакатон и 1 финальный. 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Школьники работали над кейс-задачами по оптимизации производственного цикла и улучшению характеристик автомобилей, исследовали инновационные методы снижения производственного брака, разрабатывали концепции автомобилей будущего, сочетая креативность с инженерным мышлением.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Финалистам хакатона вручены именные сертификаты участников, приглашения присоединиться к решению кейс-проектов на цифровой платформе «Проектива». 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Охват: 651 учащийся из 21 образовательного учреждения.</w:t>
      </w:r>
    </w:p>
    <w:p w:rsidR="006630B1" w:rsidRPr="00F83671" w:rsidRDefault="006630B1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Задача 4. Поддержка передового технологического образования в средней и высшей школе, максимально возможное использование образовательного и научного потенциала Тольятти для формирования и укрепления кадрового потенциала традиционных и новых отраслей, развития технологического предпринимательства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0AF" w:rsidRPr="00F83671" w:rsidRDefault="003B57B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306A96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Профориентации современного школьника</w:t>
      </w:r>
    </w:p>
    <w:p w:rsidR="00306A96" w:rsidRPr="00F83671" w:rsidRDefault="00306A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Оказана шефская помощь школам №1, 16, 18, 20,75, гимназии №9.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события и мероприятия, в том числе: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открытие лаборатории «Экоаналитика и химический мониторинг окружающей среды» в Тольяттинском государственном университете,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межрегиональная олимпиада по химии и физике имени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 Семенова,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межшкольная олимпиада по химии имени И.А. Красюка для старшеклассников тольяттинских школ (совместно с Тольяттинским государственным университетом),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 «Студент года-2023» (совместно с Тольяттинским химико-технологическим колледжем),</w:t>
      </w:r>
    </w:p>
    <w:p w:rsidR="004F40AF" w:rsidRPr="00F83671" w:rsidRDefault="00397B2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F40AF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и работа профильного класса на базе тольяттинской школы № 75, направленного на подготовку будущих специалистов в области инженерии и химии (совместно с Самарским государственным техническим университетом, дисциплины: химия, математика и инженерная и компьютерная графика),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профильной смены «Химия будущего: полиамид в эпоху инноваций» (совместно с региональным центром для одаренных детей «ВЕГА»),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поддержка открытия детского музейного центра «ЛабКлаб» в Тольяттинском краеведческом музее,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поддержка проекта «Школа юного химика» (Тольяттинский государственный университет),</w:t>
      </w:r>
    </w:p>
    <w:p w:rsidR="004F40AF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производственных экскурсий для школьников (еженедельно),</w:t>
      </w:r>
    </w:p>
    <w:p w:rsidR="00E574D2" w:rsidRPr="00F83671" w:rsidRDefault="004F40AF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Хим.Quiz и брейн-ринг «Занимательная химия» для школьников.</w:t>
      </w:r>
    </w:p>
    <w:p w:rsidR="006076DB" w:rsidRPr="00F83671" w:rsidRDefault="006076D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45B" w:rsidRPr="00F83671" w:rsidRDefault="00A7045B" w:rsidP="00F8367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4.6. 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Привлечение в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Тольятти талантливой молодежи из других регионов, в том числе иностранных граждан</w:t>
      </w:r>
    </w:p>
    <w:p w:rsidR="00A7045B" w:rsidRPr="00F83671" w:rsidRDefault="00A7045B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207" w:rsidRPr="00F83671" w:rsidRDefault="00BD0207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привлечения в университет иногородних и иностранных абитуриентов ТГУ подготовил обоснование и получил разрешение со стороны Минобрнауки России на проектирование общежития № 3 квартирного типа. В 2023 г. за счет собственных средств ТГУ с привлечением сторонней проектной организации разработана проектная документация. 16.04.2024 получено согласование изменения № 1 задания на проектирование (МН-4/1098-АГ). 28.08.2024 получено согласование проектно-сметной документации, подтверждение предельной стоимости строительства и подтверждение планирования финансирования из федерального бюджета при условии выделения средств (письмо № МН-4/2744-АГ). Идет проработка вопроса Минобрнауки России с Департаментом капитальных вложений Минстроя России о перераспределении средств на реализацию объекта. Отправлено обращение о рассмотрении финансирования от Минобрнауки РФ в Минстрой РФ МН-4/2497 от 12.12.2024.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6. 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</w:t>
      </w:r>
    </w:p>
    <w:p w:rsidR="003341D7" w:rsidRPr="00F83671" w:rsidRDefault="003341D7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7796" w:rsidRPr="00F83671" w:rsidRDefault="005377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Оценка социального самочувствия жителей городского округа Тольятти и Самарско-Тольяттинской агломерации с учетом социологической оценки субъективного ощущения личного счастья</w:t>
      </w:r>
    </w:p>
    <w:p w:rsidR="00537796" w:rsidRPr="00F83671" w:rsidRDefault="005377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796" w:rsidRPr="00F83671" w:rsidRDefault="005377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проведено социологическое исследование «Социальная интериоризация населения к инновациям информационного пространства: тренды и технологии», участие в котором приняли 220 человек.</w:t>
      </w:r>
    </w:p>
    <w:p w:rsidR="00537796" w:rsidRPr="00F83671" w:rsidRDefault="005377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социологического исследования являлась социальная интериоризация населения к инновациям информационного пространства.</w:t>
      </w:r>
    </w:p>
    <w:p w:rsidR="00537796" w:rsidRPr="00F83671" w:rsidRDefault="00537796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социологического исследования проанализировано отношение населения к инновациям информационного пространства. Метод -  проведён вторичный анализ данных в период с 2016 – 2024 гг., контент – анализ научных статей и анализ «Стратегии развития информационного общества в РФ» и «Концепции формирования информационного общества в России».</w:t>
      </w:r>
    </w:p>
    <w:p w:rsidR="003341D7" w:rsidRPr="00F83671" w:rsidRDefault="003341D7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8. Создание современной системы учреждений здравоохранения, в которых жители Тольятти могут получить качественную медицинскую помощь, в том числе в рамках системы обязательного медицинского страхования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8.5. </w:t>
      </w:r>
      <w:bookmarkStart w:id="3" w:name="_Hlk97283654"/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</w:r>
      <w:bookmarkEnd w:id="3"/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Развитие системы целевого обучения, реализации мер социальной поддержки медицинских работников на   региональном уровне, что обеспечит условия для увеличения численности медицинских работников в государственных медицинских организациях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37FE0" w:rsidRPr="00F83671" w:rsidRDefault="00137FE0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В соответствии с Планом мероприятий на 2019-2024 годы по реализации С</w:t>
      </w:r>
      <w:r w:rsidR="00C74804" w:rsidRPr="00F83671">
        <w:rPr>
          <w:rFonts w:ascii="Times New Roman" w:eastAsia="Calibri" w:hAnsi="Times New Roman" w:cs="Times New Roman"/>
          <w:sz w:val="28"/>
          <w:szCs w:val="28"/>
        </w:rPr>
        <w:t xml:space="preserve">тратегии </w:t>
      </w:r>
      <w:r w:rsidR="00C74804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 городского округа Тольятти на период до 2030 года, утвержденного решением Думы городского окр</w:t>
      </w:r>
      <w:r w:rsidR="004341FC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 Тольятти от 24.12.2019 № 445</w:t>
      </w:r>
      <w:r w:rsidR="00C74804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4804" w:rsidRPr="00F83671">
        <w:rPr>
          <w:rFonts w:ascii="Times New Roman" w:eastAsia="Calibri" w:hAnsi="Times New Roman" w:cs="Times New Roman"/>
          <w:sz w:val="28"/>
          <w:szCs w:val="28"/>
        </w:rPr>
        <w:t xml:space="preserve"> реализация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данного мероприятия</w:t>
      </w:r>
      <w:r w:rsidR="00C74804" w:rsidRPr="00F83671">
        <w:rPr>
          <w:rFonts w:ascii="Times New Roman" w:eastAsia="Calibri" w:hAnsi="Times New Roman" w:cs="Times New Roman"/>
          <w:sz w:val="28"/>
          <w:szCs w:val="28"/>
        </w:rPr>
        <w:t xml:space="preserve"> была рассчитана на 2020-2024 годы. Соответственно, базовым периодом для расчета показателей по данному мероприятию является </w:t>
      </w:r>
      <w:r w:rsidR="00B26F33">
        <w:rPr>
          <w:rFonts w:ascii="Times New Roman" w:eastAsia="Calibri" w:hAnsi="Times New Roman" w:cs="Times New Roman"/>
          <w:sz w:val="28"/>
          <w:szCs w:val="28"/>
        </w:rPr>
        <w:br/>
      </w:r>
      <w:r w:rsidR="00C74804" w:rsidRPr="00F83671">
        <w:rPr>
          <w:rFonts w:ascii="Times New Roman" w:eastAsia="Calibri" w:hAnsi="Times New Roman" w:cs="Times New Roman"/>
          <w:sz w:val="28"/>
          <w:szCs w:val="28"/>
        </w:rPr>
        <w:t>2019 год.</w:t>
      </w:r>
    </w:p>
    <w:p w:rsidR="00137FE0" w:rsidRPr="00F83671" w:rsidRDefault="00137FE0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Обеспеченность в 2024 году, на 10000 тыс. населения, составила:</w:t>
      </w:r>
    </w:p>
    <w:p w:rsidR="00137FE0" w:rsidRPr="00F83671" w:rsidRDefault="00137FE0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- врачами -31,2 чел.</w:t>
      </w:r>
      <w:r w:rsidR="00C74804" w:rsidRPr="00F83671">
        <w:rPr>
          <w:rFonts w:ascii="Times New Roman" w:eastAsia="Calibri" w:hAnsi="Times New Roman" w:cs="Times New Roman"/>
          <w:sz w:val="28"/>
          <w:szCs w:val="28"/>
        </w:rPr>
        <w:t>,</w:t>
      </w:r>
      <w:r w:rsidR="00192829" w:rsidRPr="00F83671">
        <w:rPr>
          <w:rFonts w:ascii="Times New Roman" w:eastAsia="Calibri" w:hAnsi="Times New Roman" w:cs="Times New Roman"/>
          <w:sz w:val="28"/>
          <w:szCs w:val="28"/>
        </w:rPr>
        <w:t xml:space="preserve"> что выше уровня 2019 год (30,6 чел.)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на 2,0 </w:t>
      </w:r>
      <w:r w:rsidR="0037520C" w:rsidRPr="00F83671">
        <w:rPr>
          <w:rFonts w:ascii="Times New Roman" w:eastAsia="Calibri" w:hAnsi="Times New Roman" w:cs="Times New Roman"/>
          <w:sz w:val="28"/>
          <w:szCs w:val="28"/>
        </w:rPr>
        <w:t>%</w:t>
      </w:r>
      <w:r w:rsidRPr="00F836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74D2" w:rsidRPr="00F83671" w:rsidRDefault="00137FE0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- средними медиц</w:t>
      </w:r>
      <w:r w:rsidR="00192829" w:rsidRPr="00F83671">
        <w:rPr>
          <w:rFonts w:ascii="Times New Roman" w:eastAsia="Calibri" w:hAnsi="Times New Roman" w:cs="Times New Roman"/>
          <w:sz w:val="28"/>
          <w:szCs w:val="28"/>
        </w:rPr>
        <w:t>инскими рабо</w:t>
      </w:r>
      <w:r w:rsidR="00E14A9C" w:rsidRPr="00F83671">
        <w:rPr>
          <w:rFonts w:ascii="Times New Roman" w:eastAsia="Calibri" w:hAnsi="Times New Roman" w:cs="Times New Roman"/>
          <w:sz w:val="28"/>
          <w:szCs w:val="28"/>
        </w:rPr>
        <w:t xml:space="preserve">тниками - 74,3 чел., что ниже </w:t>
      </w:r>
      <w:r w:rsidR="00192829" w:rsidRPr="00F83671">
        <w:rPr>
          <w:rFonts w:ascii="Times New Roman" w:eastAsia="Calibri" w:hAnsi="Times New Roman" w:cs="Times New Roman"/>
          <w:sz w:val="28"/>
          <w:szCs w:val="28"/>
        </w:rPr>
        <w:t>уровня 2019 года (75</w:t>
      </w:r>
      <w:r w:rsidR="0037520C" w:rsidRPr="00F83671">
        <w:rPr>
          <w:rFonts w:ascii="Times New Roman" w:eastAsia="Calibri" w:hAnsi="Times New Roman" w:cs="Times New Roman"/>
          <w:sz w:val="28"/>
          <w:szCs w:val="28"/>
        </w:rPr>
        <w:t>,1 чел.) на 1,0 %.</w:t>
      </w:r>
    </w:p>
    <w:p w:rsidR="0037520C" w:rsidRPr="00F83671" w:rsidRDefault="0037520C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Причиной недостижения</w:t>
      </w:r>
      <w:r w:rsidR="001C43CB" w:rsidRPr="00F83671">
        <w:rPr>
          <w:rFonts w:ascii="Times New Roman" w:eastAsia="Calibri" w:hAnsi="Times New Roman" w:cs="Times New Roman"/>
          <w:sz w:val="28"/>
          <w:szCs w:val="28"/>
        </w:rPr>
        <w:t xml:space="preserve"> плановых значений вышеуказанных показателей является низкая конкурентоспособность заработной платы в государственных учреждениях здравоохранения городского округа Тольятти.</w:t>
      </w:r>
    </w:p>
    <w:p w:rsidR="00E574D2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Задача 10. Организация бесплатных спортивных и творческих мероприятий для тольяттинцев старшего возраста, повышение уровня и качества жизни граждан, нуждающихся в социальной поддержке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_Hlk97295948"/>
      <w:r w:rsidRPr="00F83671">
        <w:rPr>
          <w:rFonts w:ascii="Times New Roman" w:eastAsia="Calibri" w:hAnsi="Times New Roman" w:cs="Times New Roman"/>
          <w:sz w:val="28"/>
          <w:szCs w:val="28"/>
        </w:rPr>
        <w:t>10.4. Создание условий для беспрепятственного доступа инвалидов и других маломобильных групп населения к действующим объектам социальной инфраструктуры, являющимся муниципальной собственностью, и многоквартирным жилым домам</w:t>
      </w:r>
      <w:bookmarkEnd w:id="4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Департамент до</w:t>
      </w:r>
      <w:r w:rsidR="009676C6" w:rsidRPr="00F83671">
        <w:rPr>
          <w:rFonts w:ascii="Times New Roman" w:eastAsia="Calibri" w:hAnsi="Times New Roman" w:cs="Times New Roman"/>
          <w:b/>
          <w:sz w:val="28"/>
          <w:szCs w:val="28"/>
        </w:rPr>
        <w:t>рожного хозяйства и транспорта:</w:t>
      </w:r>
      <w:r w:rsidR="008E42DD" w:rsidRPr="00F83671">
        <w:rPr>
          <w:rFonts w:ascii="Times New Roman" w:eastAsia="Calibri" w:hAnsi="Times New Roman" w:cs="Times New Roman"/>
          <w:sz w:val="28"/>
          <w:szCs w:val="28"/>
        </w:rPr>
        <w:t xml:space="preserve"> выполнено обустройство 40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съездов для инвалидов и других маломобильных групп населения.</w:t>
      </w:r>
    </w:p>
    <w:p w:rsidR="005A75AE" w:rsidRPr="00F83671" w:rsidRDefault="005A75AE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Департамент городского хозяйства: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42 обследования жилых помещений инвалидов и общего имущества в многоквартирных домах, в которых проживают инвалиды.</w:t>
      </w:r>
      <w:r w:rsidRPr="00F836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405F6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Департамент образования:</w:t>
      </w:r>
      <w:r w:rsidR="008405F6" w:rsidRPr="00F836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05F6" w:rsidRPr="00F83671">
        <w:rPr>
          <w:rFonts w:ascii="Times New Roman" w:eastAsia="Calibri" w:hAnsi="Times New Roman" w:cs="Times New Roman"/>
          <w:sz w:val="28"/>
          <w:szCs w:val="28"/>
        </w:rPr>
        <w:t xml:space="preserve">выполнены мероприятия по </w:t>
      </w:r>
      <w:r w:rsidR="008405F6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обустройству и приспособлению 9 объектов образования.</w:t>
      </w:r>
      <w:r w:rsidR="00361946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Возведена 1 быстровозводимая конструкция в 1 учреждении образования.</w:t>
      </w:r>
    </w:p>
    <w:p w:rsidR="00582C60" w:rsidRPr="00F83671" w:rsidRDefault="00E574D2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Департамент культуры:</w:t>
      </w:r>
      <w:r w:rsidR="00BD6EF6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2C60" w:rsidRPr="00F83671">
        <w:rPr>
          <w:rFonts w:ascii="Times New Roman" w:eastAsia="Calibri" w:hAnsi="Times New Roman" w:cs="Times New Roman"/>
          <w:sz w:val="28"/>
          <w:szCs w:val="28"/>
        </w:rPr>
        <w:t xml:space="preserve">выполнены </w:t>
      </w:r>
      <w:r w:rsidR="00582C60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обустройству и приспособлению 3 объектов культуры (установлено 2 пандуса, выполнен </w:t>
      </w:r>
      <w:r w:rsidR="00582C60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ремонт входной группы, приобретены кресло-коляска, подвесная система и навигационные указатели), подготовлено 4 проектных документаций для обеспечения доступа инвалидов и других маломобильных групп населения.</w:t>
      </w:r>
    </w:p>
    <w:p w:rsidR="005A75AE" w:rsidRPr="00F83671" w:rsidRDefault="005A75AE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1">
        <w:rPr>
          <w:rFonts w:ascii="Times New Roman" w:hAnsi="Times New Roman" w:cs="Times New Roman"/>
          <w:b/>
          <w:sz w:val="28"/>
          <w:szCs w:val="28"/>
        </w:rPr>
        <w:t>Управление взаимодействия с общественностью:</w:t>
      </w:r>
      <w:r w:rsidRPr="00F83671">
        <w:rPr>
          <w:rFonts w:ascii="Times New Roman" w:hAnsi="Times New Roman" w:cs="Times New Roman"/>
          <w:sz w:val="28"/>
          <w:szCs w:val="28"/>
        </w:rPr>
        <w:t xml:space="preserve">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приобретены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мобильных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лестничных подъемника гусеничного типа.</w:t>
      </w:r>
    </w:p>
    <w:p w:rsidR="00647699" w:rsidRPr="00F83671" w:rsidRDefault="00E574D2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Организационное управление: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в отчетном периоде на основании муниципальных контрактов, заключенных администрацией городского округа Тольятти</w:t>
      </w:r>
      <w:r w:rsidR="00DA5D8F">
        <w:rPr>
          <w:rFonts w:ascii="Times New Roman" w:eastAsia="Calibri" w:hAnsi="Times New Roman" w:cs="Times New Roman"/>
          <w:sz w:val="28"/>
          <w:szCs w:val="28"/>
        </w:rPr>
        <w:t>,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выполнены</w:t>
      </w:r>
      <w:r w:rsidR="00647699" w:rsidRPr="00F83671">
        <w:rPr>
          <w:rFonts w:ascii="Times New Roman" w:eastAsia="Calibri" w:hAnsi="Times New Roman" w:cs="Times New Roman"/>
          <w:sz w:val="28"/>
          <w:szCs w:val="28"/>
        </w:rPr>
        <w:t xml:space="preserve"> следующие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работы:</w:t>
      </w:r>
      <w:r w:rsidR="00361946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7699" w:rsidRPr="00F83671">
        <w:rPr>
          <w:rFonts w:ascii="Times New Roman" w:hAnsi="Times New Roman" w:cs="Times New Roman"/>
          <w:sz w:val="28"/>
          <w:szCs w:val="28"/>
        </w:rPr>
        <w:t xml:space="preserve">устройство лестничного гусеничного подъемника с платформой (МК №1155713 ООО «Подъем») на сумму 171,0 </w:t>
      </w:r>
      <w:proofErr w:type="spellStart"/>
      <w:r w:rsidR="005D07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hAnsi="Times New Roman" w:cs="Times New Roman"/>
          <w:sz w:val="28"/>
          <w:szCs w:val="28"/>
        </w:rPr>
        <w:t>.</w:t>
      </w:r>
      <w:r w:rsidR="00361946" w:rsidRPr="00F83671">
        <w:rPr>
          <w:rFonts w:ascii="Times New Roman" w:hAnsi="Times New Roman" w:cs="Times New Roman"/>
          <w:sz w:val="28"/>
          <w:szCs w:val="28"/>
        </w:rPr>
        <w:t>;</w:t>
      </w:r>
      <w:r w:rsidR="00361946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7699" w:rsidRPr="00F83671">
        <w:rPr>
          <w:rFonts w:ascii="Times New Roman" w:hAnsi="Times New Roman" w:cs="Times New Roman"/>
          <w:sz w:val="28"/>
          <w:szCs w:val="28"/>
        </w:rPr>
        <w:t>ремонт крыльца це</w:t>
      </w:r>
      <w:r w:rsidR="00962D29">
        <w:rPr>
          <w:rFonts w:ascii="Times New Roman" w:hAnsi="Times New Roman" w:cs="Times New Roman"/>
          <w:sz w:val="28"/>
          <w:szCs w:val="28"/>
        </w:rPr>
        <w:t>нтрального входа по адресу: ул</w:t>
      </w:r>
      <w:proofErr w:type="gramStart"/>
      <w:r w:rsidR="00962D29">
        <w:rPr>
          <w:rFonts w:ascii="Times New Roman" w:hAnsi="Times New Roman" w:cs="Times New Roman"/>
          <w:sz w:val="28"/>
          <w:szCs w:val="28"/>
        </w:rPr>
        <w:t>.</w:t>
      </w:r>
      <w:r w:rsidR="00647699" w:rsidRPr="00F8367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647699" w:rsidRPr="00F83671">
        <w:rPr>
          <w:rFonts w:ascii="Times New Roman" w:hAnsi="Times New Roman" w:cs="Times New Roman"/>
          <w:sz w:val="28"/>
          <w:szCs w:val="28"/>
        </w:rPr>
        <w:t xml:space="preserve">елорусская,33 (МК № 08423000024000027 ООО СтройСтиль») на сумму 1043,0 </w:t>
      </w:r>
      <w:proofErr w:type="spellStart"/>
      <w:r w:rsidR="005D07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hAnsi="Times New Roman" w:cs="Times New Roman"/>
          <w:sz w:val="28"/>
          <w:szCs w:val="28"/>
        </w:rPr>
        <w:t>.</w:t>
      </w:r>
      <w:r w:rsidR="00361946"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7699" w:rsidRPr="00F83671">
        <w:rPr>
          <w:rFonts w:ascii="Times New Roman" w:hAnsi="Times New Roman" w:cs="Times New Roman"/>
          <w:sz w:val="28"/>
          <w:szCs w:val="28"/>
        </w:rPr>
        <w:t>замена входной группы здание администрации</w:t>
      </w:r>
      <w:r w:rsidR="006F7245" w:rsidRPr="00F83671">
        <w:rPr>
          <w:rFonts w:ascii="Times New Roman" w:hAnsi="Times New Roman" w:cs="Times New Roman"/>
          <w:sz w:val="28"/>
          <w:szCs w:val="28"/>
        </w:rPr>
        <w:t xml:space="preserve"> </w:t>
      </w:r>
      <w:r w:rsidR="00B26F33">
        <w:rPr>
          <w:rFonts w:ascii="Times New Roman" w:hAnsi="Times New Roman" w:cs="Times New Roman"/>
          <w:sz w:val="28"/>
          <w:szCs w:val="28"/>
        </w:rPr>
        <w:br/>
      </w:r>
      <w:r w:rsidR="006F7245" w:rsidRPr="00F83671">
        <w:rPr>
          <w:rFonts w:ascii="Times New Roman" w:hAnsi="Times New Roman" w:cs="Times New Roman"/>
          <w:sz w:val="28"/>
          <w:szCs w:val="28"/>
        </w:rPr>
        <w:t xml:space="preserve">пос. Федоровка (МК 3 1139831) на сумму </w:t>
      </w:r>
      <w:r w:rsidR="00647699" w:rsidRPr="00F83671">
        <w:rPr>
          <w:rFonts w:ascii="Times New Roman" w:hAnsi="Times New Roman" w:cs="Times New Roman"/>
          <w:sz w:val="28"/>
          <w:szCs w:val="28"/>
        </w:rPr>
        <w:t xml:space="preserve">139,0 </w:t>
      </w:r>
      <w:proofErr w:type="spellStart"/>
      <w:r w:rsidR="005D07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07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D07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D078E">
        <w:rPr>
          <w:rFonts w:ascii="Times New Roman" w:hAnsi="Times New Roman" w:cs="Times New Roman"/>
          <w:sz w:val="28"/>
          <w:szCs w:val="28"/>
        </w:rPr>
        <w:t>.</w:t>
      </w:r>
    </w:p>
    <w:p w:rsidR="0048439F" w:rsidRPr="00F83671" w:rsidRDefault="0048439F" w:rsidP="00F83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574D2" w:rsidRPr="00F83671" w:rsidRDefault="00E574D2" w:rsidP="00DA09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bCs/>
          <w:sz w:val="28"/>
          <w:szCs w:val="28"/>
        </w:rPr>
        <w:t>Приоритет (3) «Городское сообщество и идентичность»</w:t>
      </w:r>
    </w:p>
    <w:p w:rsidR="00903281" w:rsidRPr="00F83671" w:rsidRDefault="00903281" w:rsidP="00F83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Задача 6. Содержание и реставрация памятников истории и культуры, формирование городских культурных доминант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4D2" w:rsidRPr="00F83671" w:rsidRDefault="00E574D2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97800714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Создание публичного культурно-образовательного пространства, открытого в город с Экспоцентром, Центром урбанистики, Молодежным домом культуры и иными площадками, доступными в т.ч. для лиц с ограниченными возможностями</w:t>
      </w:r>
      <w:bookmarkEnd w:id="5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19A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Во внешней архитектуре при реконструкции и возведении новых зданий в ТГУ используется единая концепция, подчеркивающая связь фундаментальных знаний и современных подходов к обучению через сочетание классического материала (гранит) и современных материалов и решений (керамогранит, алюкобонд, хромированная сталь).</w:t>
      </w:r>
    </w:p>
    <w:p w:rsidR="00BE719A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В этом стиле выполнена реконструкция фасадов корпуса А на главной площади университета.</w:t>
      </w:r>
    </w:p>
    <w:p w:rsidR="00BE719A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В общей стилистике разрабатывается проект реконструкции главного корпуса с Экспоцентром, обновленными читальными залами научной библиотеки, музейно-выставочным комплексом, Центром IT-Student, Центром урбанистики и развития территории и другими площадками, составляющими единое коммуникационное пространство.</w:t>
      </w:r>
    </w:p>
    <w:p w:rsidR="00BE719A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Предполагаемый фасад главного корпуса гармонично сочетается с благоустроенным в стиле французского парка университетским сквером – любимым местом отдыха жителей микрорайона. Напротив сквера (на городской территории) на благотворительные средства при организационной, методической и проектной поддержке университета ведется строительство университетского храма Святой Мученицы Татианы, также выполненного в едином архитектурном стиле с новыми и реконструируемыми зданиями ТГУ.</w:t>
      </w:r>
    </w:p>
    <w:p w:rsidR="00E574D2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совместного использования для города открыт ряд современных площадок ТГУ, в том числе: актовый зал, Точка кипения,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столовая, научно-интерактивное пространство «Эйнштейн», детская творческая студия «Академия», университетский сквер, а также ранее действующий и новый бассейны и физкультурно-оздоровительный комплекс.</w:t>
      </w:r>
    </w:p>
    <w:p w:rsidR="00BE719A" w:rsidRPr="00F83671" w:rsidRDefault="00BE719A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6" w:name="_Hlk97802308"/>
      <w:r w:rsidRPr="00F83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6.4. Восстановление стелы «Радость труда»» (на базе Проектного офиса центра урбанистики и стратегического развития территорий и Центра мозаики ТГУ)</w:t>
      </w:r>
      <w:bookmarkEnd w:id="6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67C92" w:rsidRPr="00F83671" w:rsidRDefault="00C67C9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Hlk97802468"/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 рамках работы с туристическим центром продолжалась детальная проработка проекта «Актуализация и восстановление стелы-панно „Радость труда“». Стела-панно относится к числу выдающихся памятников культуры и искусства советского периода. В 2022–2023 гг. за счет средств городского бюджета университет выполнил уникальные ремонтно-восстановительные работы мозаичной стелы-панно «Радость труда» (544,83 кв. м мозаики) на общую сумму (включая дополнительные работы) 55,33 млн руб. </w:t>
      </w:r>
    </w:p>
    <w:p w:rsidR="00C67C92" w:rsidRPr="00F83671" w:rsidRDefault="00C67C9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Центр урбанистики ТГУ выполнил проект актуализации и благоустройства территории вокруг стелы-панно, реализация которого также завершилась осенью 2023 г. под авторским надзором архитекторов центра урбанистики. </w:t>
      </w:r>
    </w:p>
    <w:p w:rsidR="00C67C92" w:rsidRPr="00F83671" w:rsidRDefault="00C67C9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В 2024 г. разработаны две серии сувенирной продукции, посвященной восстановлению стелы, прочитано более 10 лекций о реализации проекта в рамках различных городских и региональных мероприятий. Проект благоустройства стал лауреатом регионального конкурса Премии им. Константина Головкина, заняв 1-е место в номинации «Дизайн». В январе 2025 г. «Проект актуализации и восстановления стелы-панно „Радость труда“» стал лауреатом 1-й степени Национальной премии в области сохранения культурного наследия «Наследие дороже» в номинации «Не сноси и сохрани».</w:t>
      </w:r>
    </w:p>
    <w:p w:rsidR="00042730" w:rsidRPr="00F83671" w:rsidRDefault="00C67C9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 2024 г. центром урбанистики ТГУ разработаны эскизные варианты второго этапа благоустройства территории, прилегающей к стеле-панно «Радость труда». Они включают интеграцию территории с Итальянским сквером и территорией строящегося акватермального комплекса «Атолл». Ожидается рассмотрение и принятие решения на уровне администрации </w:t>
      </w:r>
      <w:proofErr w:type="spellStart"/>
      <w:r w:rsidR="00B26F33">
        <w:rPr>
          <w:rFonts w:ascii="Times New Roman" w:eastAsia="Calibri" w:hAnsi="Times New Roman" w:cs="Times New Roman"/>
          <w:sz w:val="28"/>
          <w:szCs w:val="28"/>
        </w:rPr>
        <w:t>г.о</w:t>
      </w:r>
      <w:proofErr w:type="gramStart"/>
      <w:r w:rsidR="00B26F33">
        <w:rPr>
          <w:rFonts w:ascii="Times New Roman" w:eastAsia="Calibri" w:hAnsi="Times New Roman" w:cs="Times New Roman"/>
          <w:sz w:val="28"/>
          <w:szCs w:val="28"/>
        </w:rPr>
        <w:t>.</w:t>
      </w:r>
      <w:r w:rsidRPr="00F83671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Pr="00F83671">
        <w:rPr>
          <w:rFonts w:ascii="Times New Roman" w:eastAsia="Calibri" w:hAnsi="Times New Roman" w:cs="Times New Roman"/>
          <w:sz w:val="28"/>
          <w:szCs w:val="28"/>
        </w:rPr>
        <w:t>ольятти</w:t>
      </w:r>
      <w:proofErr w:type="spellEnd"/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для последующей детальной разработки выбранного проекта.</w:t>
      </w:r>
    </w:p>
    <w:p w:rsidR="001A0D19" w:rsidRPr="00F83671" w:rsidRDefault="001A0D19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7. </w:t>
      </w:r>
      <w:r w:rsidRPr="00F83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условий для развития креативных (творческих) индустрий как инструмента формирования креативного класса в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г.Тольятти</w:t>
      </w:r>
      <w:bookmarkEnd w:id="7"/>
      <w:proofErr w:type="spellEnd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97802509"/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Проектный офис «</w:t>
      </w:r>
      <w:r w:rsidRPr="00F83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Urban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Center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8"/>
    </w:p>
    <w:p w:rsidR="00274342" w:rsidRPr="00F83671" w:rsidRDefault="0027434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4342" w:rsidRPr="00F83671" w:rsidRDefault="005E228F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В отчетном периоде </w:t>
      </w:r>
      <w:r w:rsidR="00274342" w:rsidRPr="00F83671">
        <w:rPr>
          <w:rFonts w:ascii="Times New Roman" w:eastAsia="Calibri" w:hAnsi="Times New Roman" w:cs="Times New Roman"/>
          <w:bCs/>
          <w:sz w:val="28"/>
          <w:szCs w:val="28"/>
        </w:rPr>
        <w:t>была актуализирована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Концепция проекта «32-й квартал»</w:t>
      </w:r>
      <w:r w:rsidR="00274342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как часть мастер-плана туристического центра, в том числе разработано эскизное предложение для тематических зон маркета локальных товаров, зоны лектория и показа фильмов под открытым небом, дополнения скульптурных композиций «Истории транспорта».</w:t>
      </w:r>
    </w:p>
    <w:p w:rsidR="00274342" w:rsidRPr="00F83671" w:rsidRDefault="005E228F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Также была р</w:t>
      </w:r>
      <w:r w:rsidR="00274342" w:rsidRPr="00F83671">
        <w:rPr>
          <w:rFonts w:ascii="Times New Roman" w:eastAsia="Calibri" w:hAnsi="Times New Roman" w:cs="Times New Roman"/>
          <w:bCs/>
          <w:sz w:val="28"/>
          <w:szCs w:val="28"/>
        </w:rPr>
        <w:t>азработана концепция благоустройства сквера у торгово-развлекательного центра «Русь на Волге» с включением аллеи как части туристического центра Автозаводского района. Концепция была отмечена дипломом Союза дизайнеров России II степени в номинации «Дизайн среды» Всероссийского ежегодного фестиваля дизайна «Свой формат».</w:t>
      </w:r>
    </w:p>
    <w:p w:rsidR="00E574D2" w:rsidRPr="00F83671" w:rsidRDefault="0027434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Для Паркового комплекса истории и техники им. К.Г. Сахарова разработана экспозиционная зона, содержащая графические материалы, иллюстрирующие процесс создания Тольятти, особенности его планировки и развития, взаимосвязи Волжского автомобильного завода и города. Экспозиционная зона была подготовлена к IV Тольяттинскому ретро</w:t>
      </w:r>
      <w:r w:rsidR="005C3D53" w:rsidRPr="00F8367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>фестивалю «Жигули», в рамках которого прошли авторские лекции сотрудников центра урбанистики ТГУ по действующим проектам развития и позиционирования Тольятти, включая лекции «Актуализация и восстановление стелы-панно „Радость труда“» и «Тольятти – столица советского модернизма».</w:t>
      </w:r>
    </w:p>
    <w:p w:rsidR="00E574D2" w:rsidRDefault="00E574D2" w:rsidP="00F836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74D2" w:rsidRPr="00F83671" w:rsidRDefault="00E574D2" w:rsidP="00DA0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 (4) «Возможности для каждого»</w:t>
      </w:r>
    </w:p>
    <w:p w:rsidR="00DA094D" w:rsidRPr="00F83671" w:rsidRDefault="00DA094D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Задача 7.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>Формирование гибкого рынка труда, учитывающего потребности современной экономики и будущие технологические тренды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7.1. Участие в реализации региональной составляющей национального проекта «Производительность труда и поддержка занятости»</w:t>
      </w:r>
    </w:p>
    <w:p w:rsidR="0037238E" w:rsidRPr="00F83671" w:rsidRDefault="0037238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37238E" w:rsidRPr="00F83671" w:rsidRDefault="0037238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С 2019 года в городском округе Тольятти реализуется национальный проект «Производительность труда». Для городского округа Тольятти на 2024 год установлено плановое значение целевого показателя национального проекта «Количество предприятий-участников, вовлеченных в реализацию национального проекта через получение адресной поддержки, единиц» в размере 2 единицы. </w:t>
      </w:r>
    </w:p>
    <w:p w:rsidR="0037238E" w:rsidRPr="00F83671" w:rsidRDefault="0037238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>Исполнение показателя за 2024 год по городскому округу Тольятти составило 3 единицы или 150</w:t>
      </w:r>
      <w:r w:rsidR="00803FDA"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>% от плана. Всего на конец 2024 года участниками национального проекта стали 65 организаций городского округа Тольятти.</w:t>
      </w:r>
    </w:p>
    <w:p w:rsidR="0037238E" w:rsidRPr="00F83671" w:rsidRDefault="0037238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>В 2024 году администрацией городского округа Тольятти проводилась следующая работа по привлечению организаций городского округа Тольятти к участию в национальном проекте: проработан перечень предприятий города – потенциальных участников национального проекта - в</w:t>
      </w:r>
      <w:r w:rsidR="00DA5D8F">
        <w:rPr>
          <w:rFonts w:ascii="Times New Roman" w:eastAsia="Calibri" w:hAnsi="Times New Roman" w:cs="Times New Roman"/>
          <w:bCs/>
          <w:iCs/>
          <w:sz w:val="28"/>
          <w:szCs w:val="28"/>
        </w:rPr>
        <w:t>сего около 100 организации г.о.</w:t>
      </w: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>Тольятти подходят по критериям участия в национальном проекте. 29 марта, 11 июня, 30 сентября и 24 декабря 2024 года на портале администрации городского округа Тольятти в разделе «Новости» и в СМИ города размещена информация о результатах реализации национального проекта.</w:t>
      </w:r>
    </w:p>
    <w:p w:rsidR="00E574D2" w:rsidRPr="00F83671" w:rsidRDefault="0037238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Всем потенциальным участникам разосланы информационные письма по разъяснению условий и преимуществах участия в национальном проекте, </w:t>
      </w:r>
      <w:r w:rsidRPr="00F83671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проведены 4 рабочие встречи и ряд консультаций с руководителями (представителями) предприятий - потенциальных участников национального проекта. Организациям, желающим стать участниками национального проекта, оказывалась помощь в регистрации, подаче заявки и подготовке необходимой документации.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7.2. Участие городского округа Тольятти в реализации мероприятий государственной программы Самарской области «Содействие занятости населени</w:t>
      </w:r>
      <w:r w:rsidR="00D6120E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я Самарской области на 2019-2024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годы»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D5C" w:rsidRPr="00F83671" w:rsidRDefault="002B2D5C" w:rsidP="00F83671">
      <w:pPr>
        <w:widowControl w:val="0"/>
        <w:numPr>
          <w:ilvl w:val="0"/>
          <w:numId w:val="3"/>
        </w:numPr>
        <w:tabs>
          <w:tab w:val="clear" w:pos="432"/>
          <w:tab w:val="num" w:pos="0"/>
        </w:tabs>
        <w:suppressAutoHyphens/>
        <w:snapToGrid w:val="0"/>
        <w:spacing w:after="20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на рынке труда городского округа Тольятти в последние два года развивается на фоне рекордно низких показателей безработицы.</w:t>
      </w:r>
      <w:r w:rsidR="008E793F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города продолжает испытывать острый дефицит кадров.</w:t>
      </w:r>
    </w:p>
    <w:p w:rsidR="002B2D5C" w:rsidRPr="00F83671" w:rsidRDefault="002B2D5C" w:rsidP="00F8367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распоряжении службы занятости </w:t>
      </w:r>
      <w:proofErr w:type="gramStart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="008E793F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находилось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26F33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908 вакансий, что в 13 раз превысило численность безработных </w:t>
      </w:r>
      <w:r w:rsidR="00B26F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(743 человек). </w:t>
      </w:r>
    </w:p>
    <w:p w:rsidR="002B2D5C" w:rsidRPr="00F83671" w:rsidRDefault="002B2D5C" w:rsidP="00F8367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в работниках имелась у организаций всех видов экономической деятельности, более всего у обрабатывающих производств, в сфере </w:t>
      </w:r>
      <w:r w:rsidR="008E793F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здравоохранения.</w:t>
      </w:r>
    </w:p>
    <w:p w:rsidR="002B2D5C" w:rsidRPr="00F83671" w:rsidRDefault="002B2D5C" w:rsidP="00F83671">
      <w:pPr>
        <w:numPr>
          <w:ilvl w:val="0"/>
          <w:numId w:val="3"/>
        </w:numPr>
        <w:tabs>
          <w:tab w:val="clear" w:pos="432"/>
        </w:tabs>
        <w:spacing w:after="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городского округа Тольятти на постоянной основе ведется мониторинг ситуации в сфере занятости населения, осуществляется информационное взаимодействие с государственными органами власти и организациями города, оказывается содействие по информированию работодателей о возможности участия в государственных программах Самарской области в сфере занятости населения. Все свежие новости о мерах поддержки оперативно доводились до организаций, размещались на информационных ресурсах администрации городского округа Тольятти и в социальных сетях. </w:t>
      </w:r>
    </w:p>
    <w:p w:rsidR="002B2D5C" w:rsidRPr="00F83671" w:rsidRDefault="002B2D5C" w:rsidP="00F83671">
      <w:pPr>
        <w:numPr>
          <w:ilvl w:val="0"/>
          <w:numId w:val="3"/>
        </w:numPr>
        <w:tabs>
          <w:tab w:val="clear" w:pos="432"/>
        </w:tabs>
        <w:spacing w:after="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89041125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занятости населения рассматривались на трехсторонней комиссии по урегулированию социально-трудовых отношений на территории городского округа Тольятти. В 2024 году проведено пять заседаний комиссии, на которых обсуждались вопросы о подготовке кадров для предприятий учебными заведениями городского округа Тольятти, мероприятия по организации профессионального и дополнительного профессионального образования отдельных категорий граждан и другие вопросы.</w:t>
      </w:r>
    </w:p>
    <w:p w:rsidR="002B2D5C" w:rsidRPr="00F83671" w:rsidRDefault="002B2D5C" w:rsidP="00F83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в рамках муниципальной программы организации работы с детьми и молодежью в городском округе Тольятти «Молодежь Тольятти на 2021-2030 гг.», утвержденной постановлением администрации городского округа Тольятти от 09.10.2020 № 3066-п/1, осуществлялось временное трудоустройство несовершеннолетних граждан в возрасте от 14 до 18 лет. Всего на организацию трудоустройства несовершеннолетних граждан на временные раб</w:t>
      </w:r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израсходовано 18 891,3 тыс</w:t>
      </w:r>
      <w:proofErr w:type="gramStart"/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уб., создано 1</w:t>
      </w:r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910 рабочих мест (на 22 места больше, чем в 2023 году), в том числе из средств бюджета городского округа Тольятти израсходовано 3 518,4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создано </w:t>
      </w:r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415 рабочих мест; из областных сред</w:t>
      </w:r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израсходовано 15 372,9 тыс.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создано 1495 рабочих мест. </w:t>
      </w:r>
      <w:bookmarkEnd w:id="9"/>
    </w:p>
    <w:p w:rsidR="002B2D5C" w:rsidRPr="00F83671" w:rsidRDefault="002B2D5C" w:rsidP="00F83671">
      <w:pPr>
        <w:numPr>
          <w:ilvl w:val="0"/>
          <w:numId w:val="3"/>
        </w:numPr>
        <w:tabs>
          <w:tab w:val="clear" w:pos="432"/>
        </w:tabs>
        <w:spacing w:after="0" w:line="240" w:lineRule="auto"/>
        <w:ind w:left="0" w:firstLine="709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городского округа Тольятти ведется работа, направленная на содействие выявлению и легализации неформальной занятости. Ежемесячно проводятся заседания рабочей группы по противодействию просроченной задолженности по заработной плате и нелегальной занятости населения, на которых рассматриваются юридические и физические лица с признаками неформальной занятости, а также работодатели, имеющие задолженность по заработной плате работников. В 2024 году проведено 12 заседаний, по вопросу нелегальной занятости рассмотрены материалы по 203 физическим и юридическим лицам, все материалы направлены в контрольно-надзорные органы для дальнейшей работы. Действует телефон «горячей линии» администрации городского округа Тольятти по вопросам задолженности по заработной плате и легализации трудовых отношений (в 2024 году обращений на тему неформальной занятости не поступало).</w:t>
      </w:r>
    </w:p>
    <w:p w:rsidR="002B2D5C" w:rsidRPr="00F83671" w:rsidRDefault="002B2D5C" w:rsidP="00F83671">
      <w:pPr>
        <w:pStyle w:val="a5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информационно-разъяснительная работа, направленная на популяризацию предпринимательства и легализацию трудовых отношений.  За 2024 год в СМИ города размещено 382 информационных сообщения, подготовлены информационные буклеты на тему легализации трудовых отношений, которые распространяются среди предпринимателей и граждан города.</w:t>
      </w:r>
    </w:p>
    <w:p w:rsidR="002B2D5C" w:rsidRPr="00F83671" w:rsidRDefault="002B2D5C" w:rsidP="00F83671">
      <w:pPr>
        <w:pStyle w:val="a5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</w:t>
      </w:r>
      <w:r w:rsidR="00DA5D8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муниципальной программы «Развитие малого и среднего предпринимательства городского округа Тольятти на 2023-2027 годы», утвержденной постановлением администрации городского округа Тольятти от 05.08.2022 № 1684-п/1, на базе Муниципального автономного учреждения «Агентство экономического развития» на безвозмездной основе для граждан проводятся консультации, семинары и тренинги, направленные на помощь в организации собственного дела и развития бизнеса.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году участие в мероприятиях приняли более 3000 человек. </w:t>
      </w:r>
    </w:p>
    <w:p w:rsidR="00E574D2" w:rsidRPr="00F83671" w:rsidRDefault="002B2D5C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регулярное информационное взаимодействие между администрацией городского округа Тольятти, службой занятости населения и Муниципальным автономным учреждением «Многофункциональный центр». Обеспечена возможность регистрации в качестве индивидуального предпринимателя или «самозанятого» после посещения обучающих мероприятий.</w:t>
      </w:r>
    </w:p>
    <w:p w:rsidR="002B2D5C" w:rsidRPr="00F83671" w:rsidRDefault="002B2D5C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Задача 8. </w:t>
      </w:r>
      <w:r w:rsidRPr="00F83671">
        <w:rPr>
          <w:rFonts w:ascii="Times New Roman" w:eastAsia="Calibri" w:hAnsi="Times New Roman" w:cs="Times New Roman"/>
          <w:sz w:val="28"/>
          <w:szCs w:val="28"/>
        </w:rPr>
        <w:t>Обеспечение эффективного управления имуществом муниципальной казны, муниципальными учреждениями и предприятиями городского округа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8.1. Заключение и реализация концессионных соглашений в городском округе Тольятти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Постановлением администрации городско</w:t>
      </w:r>
      <w:r w:rsidR="00135C26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го округа Тольятти от 26.01.2024 № 127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-п/1 был утвержден Перечень объектов, находящихся в собственности городского округа Тольятти, в отношении которых планируется заключение к</w:t>
      </w:r>
      <w:r w:rsidR="00135C26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онцессионных соглашений, на 2024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 осуществлялась реализация на территории городского округа Тольятти двух </w:t>
      </w:r>
      <w:r w:rsidR="00C93EA6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ранее заключенных 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концессионных соглашений, концедентом по которым выступает городской округ Тольятти</w:t>
      </w:r>
      <w:r w:rsidR="005D078E">
        <w:rPr>
          <w:rFonts w:ascii="Times New Roman" w:eastAsia="Calibri" w:hAnsi="Times New Roman" w:cs="Times New Roman"/>
          <w:sz w:val="28"/>
          <w:szCs w:val="28"/>
          <w:lang w:eastAsia="ru-RU"/>
        </w:rPr>
        <w:t>, в лице администрации г.о.</w:t>
      </w:r>
      <w:r w:rsidR="00C93EA6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Тольятти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рамках реализации концессионного соглашения от 15.08.2016 </w:t>
      </w:r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№ 843-дг/1, заключенного с АНОО СОШ «Центр Школа» (в 2019 г. концессионером произведено изменение наименования на АНОО СОШ «Сота») предусмотрено осуществление концессионером: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создания объекта образования (общеобразовательной школы мощностью не менее 100 учебных мест) с вложением инвестиций не менее 120 млн. руб. за счет средств концессионера (работы на сумму </w:t>
      </w:r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301 321,4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концедентом по акту выполненных работ от 17.06.2022);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деятельности в целях оказания образовательных услуг по реализации образовательных программ начального общего образования, основного общего образования и (по решению Концессионера) среднего общего образования, дополнительным общеобразовательным программам.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соглашения – 34 года</w:t>
      </w:r>
      <w:r w:rsidR="00A40DF8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15.08.2050 г.)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концессионер осуществлял эксплуатацию объекта концессионного соглашения. Согласно акту о результатах контроля за соблюдением АНОО СОШ «Сота» условий </w:t>
      </w:r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концессионного соглашения</w:t>
      </w:r>
      <w:r w:rsidR="00F567DC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24.05.2024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фактическое количество учебных мест для осуществления образовательной деятельности с использованием объекта концессионного соглашения сос</w:t>
      </w:r>
      <w:r w:rsidR="00F567DC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тавило 192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единицы.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рамках реализации концессионного соглашения от 10.03.2017 </w:t>
      </w:r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№ 452-дг/1 предусматривается осуществление концессионером (ООО «Альтернатива»):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реконструкции объекта концессионного соглашения - здания детского сада по адресу: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бульвар Королева, 22 (работы на сумму 35 000 </w:t>
      </w:r>
      <w:proofErr w:type="spellStart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концедентом по акту выполненных работ от 10.03.2018). 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образовательной деятельности по программам дошкольного образова</w:t>
      </w:r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присмотру и уходу не менее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140 воспитанниками. </w:t>
      </w:r>
    </w:p>
    <w:p w:rsidR="0057273D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соглашения – 31 год</w:t>
      </w:r>
      <w:r w:rsidR="00A40DF8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10.03.2048 г.)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74D2" w:rsidRPr="00F83671" w:rsidRDefault="00676F4E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а</w:t>
      </w:r>
      <w:r w:rsidR="0057273D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7273D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контроля за соблюдением ООО «Альтернатива» условий </w:t>
      </w:r>
      <w:r w:rsidR="005D07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концессионного соглашения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06.09.</w:t>
      </w:r>
      <w:r w:rsidR="0057273D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E574D2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отчетном периоде ЧОУ СОШ «ООЦ «Школа»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74D2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договором аренды объекта концессионного соглашения, заключенным концессионером с согласия администрации городского округа Тольятти, как концедента, осуществлялась образовательная деятельность по программе дошкольного </w:t>
      </w:r>
      <w:r w:rsidR="00E574D2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</w:t>
      </w:r>
      <w:r w:rsidR="001E5FA0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ования, присмотру и уходу за 132 воспитанниками (образовано 9</w:t>
      </w:r>
      <w:r w:rsidR="00E574D2"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для детей дошкольного возраста от 2 до 7 лет).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Капитальный ремонт отдельных учреждений общего образования, в соответствии со стандартами по безопасности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постановлению администрации городского округа Тольятти от 28.10.2019 № 2854-п/1 «О внесении изменений в постановление администрации городского округа Тольятти от 11.06.2019 № 1609-п/1 «Об изъятии недвижимого имущества из оперативного управления МБУ Школа № 6» в муниципальную казну принято здание, расположенное по адресу: </w:t>
      </w:r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962D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атросова</w:t>
      </w:r>
      <w:proofErr w:type="spellEnd"/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, 5.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содержания временно свободных муниципальных нежилых помещений департамент городского хозяйства организовал мероприятия по восстановлению поврежденных металлических решеток и завариванию металлических дверей.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департамента городского хозяйства ежемесячно осуществляют осмотр здания.</w:t>
      </w:r>
    </w:p>
    <w:p w:rsidR="00E574D2" w:rsidRDefault="00E574D2" w:rsidP="00F8367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74D2" w:rsidRPr="00F83671" w:rsidRDefault="00E574D2" w:rsidP="00DA09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3671">
        <w:rPr>
          <w:rFonts w:ascii="Times New Roman" w:eastAsia="Calibri" w:hAnsi="Times New Roman" w:cs="Times New Roman"/>
          <w:b/>
          <w:sz w:val="28"/>
          <w:szCs w:val="28"/>
        </w:rPr>
        <w:t>Приоритет (6) «Город жизни»</w:t>
      </w:r>
    </w:p>
    <w:p w:rsidR="00E574D2" w:rsidRDefault="00E574D2" w:rsidP="00F83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Задача 1. Реализация современной градостроительной политики как для Тольятти в целом, так и для отдельных районов с учетом их уникальной специфики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1.3. Проработка вопроса о возможности создания городских намывных территорий и возможности включения в границы городского округа Тольятти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Согласно статье 4 Федерального закона от 19.07.2011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Федерации», инициатор создания искусственного земельного участка осуществляет подготовку проекта разрешения на создание искусственного земельного участка на водном объекте, находящемся в федеральной собственности, или его части.  Инициаторами создания искусственных земельных участков могут быть федеральные органы исполнительной власти, исполнительные органы государственной власти субъектов Российской Федерации, органы местного самоуправления, физические лица, в том числе индивидуальные предприниматели, юридические лица.</w:t>
      </w:r>
    </w:p>
    <w:p w:rsidR="00E574D2" w:rsidRPr="00F83671" w:rsidRDefault="00E574D2" w:rsidP="00F8367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 связи с тем, что Генеральным планом городского округа Тольятти Самарской области размещение объектов капитального строительства местного значения и объектов капитального строительства регионального значения на искусственном земельном участке не предусмотрено, </w:t>
      </w:r>
      <w:r w:rsidRPr="00F83671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администрация городского округа Тольятти не осуществляет подготовку проекта разрешения на создание искусственного земельного участка на водном объекте, находящемся в федеральной собственности, или его части.</w:t>
      </w:r>
    </w:p>
    <w:p w:rsidR="00E574D2" w:rsidRPr="00F83671" w:rsidRDefault="00E574D2" w:rsidP="00F8367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Проектов разрешений на создание искусственных земельных участков на водном объекте, находящемся в федеральной собственности, на согласование в администрацию городского округа Тольятти в отчетном периоде не поступало. </w:t>
      </w:r>
    </w:p>
    <w:p w:rsidR="00E574D2" w:rsidRPr="00F83671" w:rsidRDefault="00E574D2" w:rsidP="00F8367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проекта планировки и проекта межевания территории</w:t>
      </w:r>
    </w:p>
    <w:p w:rsidR="00E574D2" w:rsidRPr="00F83671" w:rsidRDefault="00E574D2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50DE" w:rsidRPr="00F83671" w:rsidRDefault="005850DE" w:rsidP="00F836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за счет средств местного бюджета предусмотрены бюджетные ассигнования для оплаты следующих мероприятий: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1) По строке «Подготовка проекта планировки территории и проекта межевания территории для р</w:t>
      </w:r>
      <w:r w:rsidR="00962D29">
        <w:rPr>
          <w:rFonts w:ascii="Times New Roman" w:eastAsia="Calibri" w:hAnsi="Times New Roman" w:cs="Times New Roman"/>
          <w:sz w:val="28"/>
          <w:szCs w:val="28"/>
        </w:rPr>
        <w:t>азмещения линейного объекта ул.</w:t>
      </w:r>
      <w:r w:rsidRPr="00F83671">
        <w:rPr>
          <w:rFonts w:ascii="Times New Roman" w:eastAsia="Calibri" w:hAnsi="Times New Roman" w:cs="Times New Roman"/>
          <w:sz w:val="28"/>
          <w:szCs w:val="28"/>
        </w:rPr>
        <w:t>40 лет Победы с включением коль</w:t>
      </w:r>
      <w:r w:rsidR="00962D29">
        <w:rPr>
          <w:rFonts w:ascii="Times New Roman" w:eastAsia="Calibri" w:hAnsi="Times New Roman" w:cs="Times New Roman"/>
          <w:sz w:val="28"/>
          <w:szCs w:val="28"/>
        </w:rPr>
        <w:t xml:space="preserve">цевых транспортных развязок </w:t>
      </w:r>
      <w:proofErr w:type="spellStart"/>
      <w:r w:rsidR="00962D29"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 w:rsidR="00962D29">
        <w:rPr>
          <w:rFonts w:ascii="Times New Roman" w:eastAsia="Calibri" w:hAnsi="Times New Roman" w:cs="Times New Roman"/>
          <w:sz w:val="28"/>
          <w:szCs w:val="28"/>
        </w:rPr>
        <w:t>.А</w:t>
      </w:r>
      <w:proofErr w:type="gramEnd"/>
      <w:r w:rsidR="00962D29">
        <w:rPr>
          <w:rFonts w:ascii="Times New Roman" w:eastAsia="Calibri" w:hAnsi="Times New Roman" w:cs="Times New Roman"/>
          <w:sz w:val="28"/>
          <w:szCs w:val="28"/>
        </w:rPr>
        <w:t>втостроителей</w:t>
      </w:r>
      <w:proofErr w:type="spellEnd"/>
      <w:r w:rsidR="00962D2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="00962D29">
        <w:rPr>
          <w:rFonts w:ascii="Times New Roman" w:eastAsia="Calibri" w:hAnsi="Times New Roman" w:cs="Times New Roman"/>
          <w:sz w:val="28"/>
          <w:szCs w:val="28"/>
        </w:rPr>
        <w:t>ул.Свердлова</w:t>
      </w:r>
      <w:proofErr w:type="spellEnd"/>
      <w:r w:rsidR="00962D29">
        <w:rPr>
          <w:rFonts w:ascii="Times New Roman" w:eastAsia="Calibri" w:hAnsi="Times New Roman" w:cs="Times New Roman"/>
          <w:sz w:val="28"/>
          <w:szCs w:val="28"/>
        </w:rPr>
        <w:t xml:space="preserve"> – ул.</w:t>
      </w:r>
      <w:r w:rsidRPr="00F83671">
        <w:rPr>
          <w:rFonts w:ascii="Times New Roman" w:eastAsia="Calibri" w:hAnsi="Times New Roman" w:cs="Times New Roman"/>
          <w:sz w:val="28"/>
          <w:szCs w:val="28"/>
        </w:rPr>
        <w:t>40 лет По</w:t>
      </w:r>
      <w:r w:rsidR="00962D29">
        <w:rPr>
          <w:rFonts w:ascii="Times New Roman" w:eastAsia="Calibri" w:hAnsi="Times New Roman" w:cs="Times New Roman"/>
          <w:sz w:val="28"/>
          <w:szCs w:val="28"/>
        </w:rPr>
        <w:t xml:space="preserve">беды и Ленинский проспект – </w:t>
      </w:r>
      <w:proofErr w:type="spellStart"/>
      <w:r w:rsidR="00962D29">
        <w:rPr>
          <w:rFonts w:ascii="Times New Roman" w:eastAsia="Calibri" w:hAnsi="Times New Roman" w:cs="Times New Roman"/>
          <w:sz w:val="28"/>
          <w:szCs w:val="28"/>
        </w:rPr>
        <w:t>ул.</w:t>
      </w:r>
      <w:r w:rsidRPr="00F83671">
        <w:rPr>
          <w:rFonts w:ascii="Times New Roman" w:eastAsia="Calibri" w:hAnsi="Times New Roman" w:cs="Times New Roman"/>
          <w:sz w:val="28"/>
          <w:szCs w:val="28"/>
        </w:rPr>
        <w:t>Жукова</w:t>
      </w:r>
      <w:proofErr w:type="spellEnd"/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» предусмотрены бюджетные ассигнования за счет средств местного бюджета в сумме 685,5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По итогам электронного аукциона заключен муниципальный контракт № 08423000040240002720001 от 25.06.2024 с ООО «НПП «Инженер» в сумме 685,5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5D078E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5D078E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Оплата в отчетном периоде не производилась, так как подрядчик нарушил сроки выполнения работ.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Публичные слушания окончены 10.01.2025. Замечания не поступили. С 20.01.2025 началась процедура по утверждени</w:t>
      </w:r>
      <w:r w:rsidR="005D078E">
        <w:rPr>
          <w:rFonts w:ascii="Times New Roman" w:eastAsia="Calibri" w:hAnsi="Times New Roman" w:cs="Times New Roman"/>
          <w:sz w:val="28"/>
          <w:szCs w:val="28"/>
        </w:rPr>
        <w:t>ю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проекта планировки с проектом межевания вышеуказанной территории.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2) По строке «Подготовка проекта планировки и проекта межевания на территории, ограниченной с севера - Южным шоссе, с юга - оросительным каналом, с запада - земельными участками с кадастровым номером 63:09:0102161:30, 63:09:0102161:677, с востока - земельными участками с кадастровым номером 63:09:0102161:5, 63:09:0102161:11, расположен</w:t>
      </w:r>
      <w:r w:rsidR="005D078E">
        <w:rPr>
          <w:rFonts w:ascii="Times New Roman" w:eastAsia="Calibri" w:hAnsi="Times New Roman" w:cs="Times New Roman"/>
          <w:sz w:val="28"/>
          <w:szCs w:val="28"/>
        </w:rPr>
        <w:t>ной в Автозаводском районе г.о</w:t>
      </w:r>
      <w:proofErr w:type="gramStart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  <w:r w:rsidRPr="00F83671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ольятти» предусмотрены бюджетные ассигнования за счет средств местного бюджета в сумме 565,0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5D078E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5D078E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 2023 году под лимит 2024 года заключен муниципальный контракт № 609-дг/5.1-9 от 04.10.2023 с ИП Крывый Владимир Владимирович в сумме 565,0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5D078E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5D078E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За отчетный период оплачено 565,0 </w:t>
      </w:r>
      <w:proofErr w:type="spellStart"/>
      <w:r w:rsidR="005D078E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="005D07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0DE" w:rsidRPr="00F83671" w:rsidRDefault="005850DE" w:rsidP="00F836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Проект планировки и проект межевания указанной территории утвержден постановлением администрации городского округа Тольятти </w:t>
      </w:r>
      <w:r w:rsidR="00962D29">
        <w:rPr>
          <w:rFonts w:ascii="Times New Roman" w:eastAsia="Calibri" w:hAnsi="Times New Roman" w:cs="Times New Roman"/>
          <w:sz w:val="28"/>
          <w:szCs w:val="28"/>
        </w:rPr>
        <w:br/>
      </w:r>
      <w:r w:rsidRPr="00F83671">
        <w:rPr>
          <w:rFonts w:ascii="Times New Roman" w:eastAsia="Calibri" w:hAnsi="Times New Roman" w:cs="Times New Roman"/>
          <w:sz w:val="28"/>
          <w:szCs w:val="28"/>
        </w:rPr>
        <w:t>№ 2039-п/1 от 30.10.2024.</w:t>
      </w:r>
    </w:p>
    <w:p w:rsidR="005850DE" w:rsidRPr="00F83671" w:rsidRDefault="005850DE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1.6. Участие в реализации региональной составляющей федерального проекта «Жилье» национального проекта «Жилье и городская среда»</w:t>
      </w:r>
    </w:p>
    <w:p w:rsidR="00E574D2" w:rsidRPr="00F83671" w:rsidRDefault="00E574D2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Показателем </w:t>
      </w:r>
      <w:r w:rsidRPr="00F83671">
        <w:rPr>
          <w:rFonts w:ascii="Times New Roman" w:eastAsia="Arial" w:hAnsi="Times New Roman" w:cs="Times New Roman"/>
          <w:sz w:val="28"/>
          <w:szCs w:val="28"/>
        </w:rPr>
        <w:t>национального проекта «Жилье и городская среда»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является показатель «Объем жилищного строительства». </w:t>
      </w: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83671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Соглашением от 28.04.2021 № 207, заключенным между министерством строительства Самарской области (далее - Министерство) и администрацией городского округа Тольятти (далее - Администрация) на 2021-2030 годы (далее - Соглашение), установлено плановое задание по вводу жилья для городского округа Тольятти на 2024 год в объеме </w:t>
      </w:r>
      <w:r w:rsidR="00962D29">
        <w:rPr>
          <w:rFonts w:ascii="Times New Roman" w:eastAsia="Arial" w:hAnsi="Times New Roman" w:cs="Times New Roman"/>
          <w:sz w:val="28"/>
          <w:szCs w:val="28"/>
        </w:rPr>
        <w:br/>
      </w:r>
      <w:r w:rsidRPr="00F83671">
        <w:rPr>
          <w:rFonts w:ascii="Times New Roman" w:eastAsia="Arial" w:hAnsi="Times New Roman" w:cs="Times New Roman"/>
          <w:sz w:val="28"/>
          <w:szCs w:val="28"/>
        </w:rPr>
        <w:t xml:space="preserve">231 596,0 </w:t>
      </w:r>
      <w:proofErr w:type="spellStart"/>
      <w:r w:rsidRPr="00F83671">
        <w:rPr>
          <w:rFonts w:ascii="Times New Roman" w:eastAsia="Arial" w:hAnsi="Times New Roman" w:cs="Times New Roman"/>
          <w:sz w:val="28"/>
          <w:szCs w:val="28"/>
        </w:rPr>
        <w:t>кв</w:t>
      </w:r>
      <w:proofErr w:type="gramStart"/>
      <w:r w:rsidRPr="00F83671">
        <w:rPr>
          <w:rFonts w:ascii="Times New Roman" w:eastAsia="Arial" w:hAnsi="Times New Roman" w:cs="Times New Roman"/>
          <w:sz w:val="28"/>
          <w:szCs w:val="28"/>
        </w:rPr>
        <w:t>.м</w:t>
      </w:r>
      <w:proofErr w:type="spellEnd"/>
      <w:proofErr w:type="gramEnd"/>
      <w:r w:rsidRPr="00F83671">
        <w:rPr>
          <w:rFonts w:ascii="Times New Roman" w:eastAsia="Arial" w:hAnsi="Times New Roman" w:cs="Times New Roman"/>
          <w:sz w:val="28"/>
          <w:szCs w:val="28"/>
        </w:rPr>
        <w:t xml:space="preserve"> (из которых 166 274,0 кв.м – МКД, 65 322,0 кв.м - ИЖС).</w:t>
      </w: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По состоянию на 31.12.2024 на территории </w:t>
      </w:r>
      <w:r w:rsidRPr="00F83671">
        <w:rPr>
          <w:rFonts w:ascii="Times New Roman" w:eastAsia="Arial" w:hAnsi="Times New Roman" w:cs="Times New Roman"/>
          <w:sz w:val="28"/>
          <w:szCs w:val="28"/>
        </w:rPr>
        <w:t xml:space="preserve">городского округа Тольятти 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введены в эксплуатацию 79 498,7 кв.м. жилья, что составляет 34,3 % от плана, из них: </w:t>
      </w:r>
    </w:p>
    <w:p w:rsidR="00BF3ECF" w:rsidRPr="00F83671" w:rsidRDefault="00BF3ECF" w:rsidP="00F83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- 8 многоквартирных жилых домов общей площадью жилых помещений 51 288,7 кв.м.;</w:t>
      </w: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- индивидуальных жилых домов общей площадью 28 210,0 кв.м.  </w:t>
      </w: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В целях исполнения планового задания по вводу жилья в 2024 году, а также достижения величины планового значения целевого показателя «Объем жилищного строительства» национального проекта «Жилье и городская среда» Администрацией на постоянной основе осуществляется мониторинг строительства жилья, проводятся совещания с организациями – застройщиками, осуществляющими строительство многоквартирного жилья на территории городского округ Тольятти.</w:t>
      </w:r>
    </w:p>
    <w:p w:rsidR="00BF3ECF" w:rsidRPr="00F83671" w:rsidRDefault="00BF3ECF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По итогам совещаний организациям – застройщикам в рамках полномочий администрацией городского округа Тольятти оказывается содействие в решении проблемных вопросов, возникающих в процессе строительства жилья.</w:t>
      </w:r>
    </w:p>
    <w:p w:rsidR="00890710" w:rsidRPr="00F83671" w:rsidRDefault="00890710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0710" w:rsidRPr="00F83671" w:rsidRDefault="00890710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</w:rPr>
        <w:t>Задача 2. 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</w:t>
      </w:r>
    </w:p>
    <w:p w:rsidR="00890710" w:rsidRPr="00F83671" w:rsidRDefault="00890710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710" w:rsidRPr="00F83671" w:rsidRDefault="00890710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комплексного благоустройства знаковых и социально значимых мест</w:t>
      </w:r>
    </w:p>
    <w:p w:rsidR="00890710" w:rsidRPr="00F83671" w:rsidRDefault="00890710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710" w:rsidRPr="00F83671" w:rsidRDefault="00B014B8" w:rsidP="00F83671">
      <w:pPr>
        <w:tabs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right" w:pos="9356"/>
          <w:tab w:val="right" w:pos="99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671">
        <w:rPr>
          <w:rFonts w:ascii="Times New Roman" w:eastAsia="Times New Roman" w:hAnsi="Times New Roman" w:cs="Times New Roman"/>
          <w:sz w:val="28"/>
          <w:szCs w:val="28"/>
        </w:rPr>
        <w:t>Невыполнение работ по муниципальному контракту на устройство гранитного основания «Вечного Огня» в Парке Победы. Документы о приемке выполненных рабо</w:t>
      </w:r>
      <w:r w:rsidR="005D078E">
        <w:rPr>
          <w:rFonts w:ascii="Times New Roman" w:eastAsia="Times New Roman" w:hAnsi="Times New Roman" w:cs="Times New Roman"/>
          <w:sz w:val="28"/>
          <w:szCs w:val="28"/>
        </w:rPr>
        <w:t>т не подписаны</w:t>
      </w:r>
      <w:r w:rsidRPr="00F83671">
        <w:rPr>
          <w:rFonts w:ascii="Times New Roman" w:eastAsia="Times New Roman" w:hAnsi="Times New Roman" w:cs="Times New Roman"/>
          <w:sz w:val="28"/>
          <w:szCs w:val="28"/>
        </w:rPr>
        <w:t xml:space="preserve"> в связи с невыполнением Подрядчиком обязательств, предусмотренных Контрактом, в связи с тем, что качество предъявленных работ не соответствует требованиям Технического задания, а именно укладка гранитных плит проводилась при отрицательных температурах, уложена с перепадами по горизонтали, а также Подрядчиком не представлена исполнительная документация, в том числе акты на скрытые работы. Ведется претензионная работа.</w:t>
      </w:r>
    </w:p>
    <w:p w:rsidR="00BF3ECF" w:rsidRPr="00F83671" w:rsidRDefault="00BF3ECF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Задача 11.</w:t>
      </w:r>
      <w:r w:rsidRPr="00F8367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836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Организация деятельности городского стратегического центра, целью которого является независимая экспертиза результатов деятельности органов исполнительной и представительной власти Тольятти, разработка стратегических направлений развития города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6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11.2. </w:t>
      </w:r>
      <w:r w:rsidRPr="00F83671">
        <w:rPr>
          <w:rFonts w:ascii="Times New Roman" w:eastAsia="Calibri" w:hAnsi="Times New Roman" w:cs="Times New Roman"/>
          <w:bCs/>
          <w:sz w:val="28"/>
          <w:szCs w:val="28"/>
        </w:rPr>
        <w:t>Проведение ежегодных стратегических сессий в городском округе Тольятти</w:t>
      </w: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574D2" w:rsidRPr="00F83671" w:rsidRDefault="00E574D2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В отчетном периоде администрацией городского округа Тольятти была проведена стратегическая сессия в дистанционном формате (далее – сессия) по обсуждению Отчета о ходе реализации 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Плана мероприятий на 2019-2024 годы по реализации Стратегии социально-экономического развития городского округа Тольятти</w:t>
      </w:r>
      <w:r w:rsidR="004E3EDE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период до 2030 года, за 2023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год, утвержденного решением Думы городско</w:t>
      </w:r>
      <w:r w:rsidR="0022249A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 округа Тольятти от 22.05.2024 </w:t>
      </w:r>
      <w:r w:rsidR="005D078E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2249A"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>№ 211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Отчет)</w:t>
      </w:r>
      <w:r w:rsidRPr="00F83671">
        <w:rPr>
          <w:rFonts w:ascii="Times New Roman" w:eastAsia="Calibri" w:hAnsi="Times New Roman" w:cs="Times New Roman"/>
          <w:sz w:val="28"/>
          <w:szCs w:val="28"/>
        </w:rPr>
        <w:t>. В рамках дистанционного формата сессии, позволяющего осуществить максимальный охват городской аудитории, на странице департамента экономического развития официального портала администрации в с</w:t>
      </w:r>
      <w:r w:rsidR="005D078E">
        <w:rPr>
          <w:rFonts w:ascii="Times New Roman" w:eastAsia="Calibri" w:hAnsi="Times New Roman" w:cs="Times New Roman"/>
          <w:sz w:val="28"/>
          <w:szCs w:val="28"/>
        </w:rPr>
        <w:t>ети Интернет был размещен Отчет,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36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направлена в СМИ городского округа, а также размещена на первой странице официального портала администрации информация о проведении стратегической сессии в дистанционном формате в целях обсуждения </w:t>
      </w:r>
      <w:r w:rsidRPr="00F83671">
        <w:rPr>
          <w:rFonts w:ascii="Times New Roman" w:eastAsia="Calibri" w:hAnsi="Times New Roman" w:cs="Times New Roman"/>
          <w:sz w:val="28"/>
          <w:szCs w:val="28"/>
        </w:rPr>
        <w:t>хода и достигнутых текущих результатов реализации Стратегии социально-экономического развития городского округа Тольятти на период до 2030 года (далее – Стратегия), изложенных в отчет</w:t>
      </w:r>
      <w:r w:rsidR="004E3EDE" w:rsidRPr="00F83671">
        <w:rPr>
          <w:rFonts w:ascii="Times New Roman" w:eastAsia="Calibri" w:hAnsi="Times New Roman" w:cs="Times New Roman"/>
          <w:sz w:val="28"/>
          <w:szCs w:val="28"/>
        </w:rPr>
        <w:t>е о реализации Стратегии за 2023</w:t>
      </w:r>
      <w:r w:rsidRPr="00F83671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E574D2" w:rsidRDefault="006F167D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671">
        <w:rPr>
          <w:rFonts w:ascii="Times New Roman" w:eastAsia="Calibri" w:hAnsi="Times New Roman" w:cs="Times New Roman"/>
          <w:sz w:val="28"/>
          <w:szCs w:val="28"/>
        </w:rPr>
        <w:t>В период проведения сессии (с 17 по 28 июня 2024</w:t>
      </w:r>
      <w:r w:rsidR="00E574D2" w:rsidRPr="00F83671">
        <w:rPr>
          <w:rFonts w:ascii="Times New Roman" w:eastAsia="Calibri" w:hAnsi="Times New Roman" w:cs="Times New Roman"/>
          <w:sz w:val="28"/>
          <w:szCs w:val="28"/>
        </w:rPr>
        <w:t xml:space="preserve"> года) заинтересованные лица имели возможность направить на электронную почту ответственного сотрудника департамента экономического развития администрации вопросы и замечания к Отчету, а также предложения по дополнению Плана мероприятий по реализации Стратегии новыми мероприятиями, корректировке действующих мероприятий. В обозначенный период проведения сессии предложений и замечаний от граждан и организаций в администрацию городского округа Тольятти не поступило.</w:t>
      </w:r>
    </w:p>
    <w:p w:rsidR="00DA094D" w:rsidRDefault="00DA094D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94D" w:rsidRDefault="00DA094D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94D" w:rsidRDefault="00DA094D" w:rsidP="00F83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94D" w:rsidRPr="00F83671" w:rsidRDefault="00DA094D" w:rsidP="00DA0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:rsidR="00E574D2" w:rsidRPr="00E574D2" w:rsidRDefault="00E574D2" w:rsidP="00E574D2">
      <w:pPr>
        <w:rPr>
          <w:rFonts w:ascii="Calibri" w:eastAsia="Calibri" w:hAnsi="Calibri" w:cs="Times New Roman"/>
        </w:rPr>
      </w:pPr>
    </w:p>
    <w:sectPr w:rsidR="00E574D2" w:rsidRPr="00E574D2" w:rsidSect="00DA094D">
      <w:headerReference w:type="default" r:id="rId10"/>
      <w:pgSz w:w="11906" w:h="16838" w:code="9"/>
      <w:pgMar w:top="1134" w:right="850" w:bottom="1134" w:left="1701" w:header="709" w:footer="709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D29" w:rsidRDefault="00962D29">
      <w:pPr>
        <w:spacing w:after="0" w:line="240" w:lineRule="auto"/>
      </w:pPr>
      <w:r>
        <w:separator/>
      </w:r>
    </w:p>
  </w:endnote>
  <w:endnote w:type="continuationSeparator" w:id="0">
    <w:p w:rsidR="00962D29" w:rsidRDefault="00962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D29" w:rsidRDefault="00962D29">
      <w:pPr>
        <w:spacing w:after="0" w:line="240" w:lineRule="auto"/>
      </w:pPr>
      <w:r>
        <w:separator/>
      </w:r>
    </w:p>
  </w:footnote>
  <w:footnote w:type="continuationSeparator" w:id="0">
    <w:p w:rsidR="00962D29" w:rsidRDefault="00962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083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62D29" w:rsidRDefault="00962D2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38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38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38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22B67">
          <w:rPr>
            <w:rFonts w:ascii="Times New Roman" w:hAnsi="Times New Roman" w:cs="Times New Roman"/>
            <w:noProof/>
            <w:sz w:val="20"/>
            <w:szCs w:val="20"/>
          </w:rPr>
          <w:t>128</w:t>
        </w:r>
        <w:r w:rsidRPr="001838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:rsidR="00962D29" w:rsidRPr="00183822" w:rsidRDefault="00962D2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87DB4"/>
    <w:multiLevelType w:val="hybridMultilevel"/>
    <w:tmpl w:val="5582F160"/>
    <w:lvl w:ilvl="0" w:tplc="971475F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2FAB7C10"/>
    <w:multiLevelType w:val="hybridMultilevel"/>
    <w:tmpl w:val="180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4D2"/>
    <w:rsid w:val="000421C5"/>
    <w:rsid w:val="00042730"/>
    <w:rsid w:val="00056BBB"/>
    <w:rsid w:val="00057B52"/>
    <w:rsid w:val="000677E1"/>
    <w:rsid w:val="000E4BC2"/>
    <w:rsid w:val="00101F1C"/>
    <w:rsid w:val="001069EE"/>
    <w:rsid w:val="001269E2"/>
    <w:rsid w:val="001271BF"/>
    <w:rsid w:val="00135C26"/>
    <w:rsid w:val="00137FE0"/>
    <w:rsid w:val="0016485F"/>
    <w:rsid w:val="00192829"/>
    <w:rsid w:val="001A0D19"/>
    <w:rsid w:val="001C43CB"/>
    <w:rsid w:val="001D7201"/>
    <w:rsid w:val="001E4F38"/>
    <w:rsid w:val="001E5FA0"/>
    <w:rsid w:val="001F7876"/>
    <w:rsid w:val="00202304"/>
    <w:rsid w:val="00214EA3"/>
    <w:rsid w:val="002155DE"/>
    <w:rsid w:val="0022249A"/>
    <w:rsid w:val="00227589"/>
    <w:rsid w:val="00274342"/>
    <w:rsid w:val="00274745"/>
    <w:rsid w:val="00280690"/>
    <w:rsid w:val="002B2D5C"/>
    <w:rsid w:val="002B2E52"/>
    <w:rsid w:val="002D1EDB"/>
    <w:rsid w:val="002D6531"/>
    <w:rsid w:val="00306A96"/>
    <w:rsid w:val="00326701"/>
    <w:rsid w:val="003341D7"/>
    <w:rsid w:val="003370A6"/>
    <w:rsid w:val="00361946"/>
    <w:rsid w:val="0037238E"/>
    <w:rsid w:val="0037520C"/>
    <w:rsid w:val="00375D9F"/>
    <w:rsid w:val="00397B22"/>
    <w:rsid w:val="003A3335"/>
    <w:rsid w:val="003B57BF"/>
    <w:rsid w:val="003D6593"/>
    <w:rsid w:val="003E7CB3"/>
    <w:rsid w:val="00405C3B"/>
    <w:rsid w:val="004341FC"/>
    <w:rsid w:val="00434542"/>
    <w:rsid w:val="004564B6"/>
    <w:rsid w:val="0048036D"/>
    <w:rsid w:val="00481A12"/>
    <w:rsid w:val="0048439F"/>
    <w:rsid w:val="00490F7B"/>
    <w:rsid w:val="004918CB"/>
    <w:rsid w:val="004C2CCD"/>
    <w:rsid w:val="004D1149"/>
    <w:rsid w:val="004D2FA4"/>
    <w:rsid w:val="004E3EDE"/>
    <w:rsid w:val="004F2FBA"/>
    <w:rsid w:val="004F40AF"/>
    <w:rsid w:val="00522B67"/>
    <w:rsid w:val="00537796"/>
    <w:rsid w:val="00546DD4"/>
    <w:rsid w:val="005544CE"/>
    <w:rsid w:val="0055557D"/>
    <w:rsid w:val="0057273D"/>
    <w:rsid w:val="00582C60"/>
    <w:rsid w:val="005850DE"/>
    <w:rsid w:val="005A0DE3"/>
    <w:rsid w:val="005A75AE"/>
    <w:rsid w:val="005C3D53"/>
    <w:rsid w:val="005D078E"/>
    <w:rsid w:val="005E228F"/>
    <w:rsid w:val="005E5358"/>
    <w:rsid w:val="006076DB"/>
    <w:rsid w:val="0061712A"/>
    <w:rsid w:val="00647699"/>
    <w:rsid w:val="006563B7"/>
    <w:rsid w:val="006630B1"/>
    <w:rsid w:val="006679AB"/>
    <w:rsid w:val="00676F4E"/>
    <w:rsid w:val="006B53D7"/>
    <w:rsid w:val="006D255B"/>
    <w:rsid w:val="006F167D"/>
    <w:rsid w:val="006F7245"/>
    <w:rsid w:val="00712C51"/>
    <w:rsid w:val="00766547"/>
    <w:rsid w:val="00796041"/>
    <w:rsid w:val="007E4F49"/>
    <w:rsid w:val="00803FDA"/>
    <w:rsid w:val="00815463"/>
    <w:rsid w:val="00820846"/>
    <w:rsid w:val="008405F6"/>
    <w:rsid w:val="008415A7"/>
    <w:rsid w:val="00865AB1"/>
    <w:rsid w:val="00890710"/>
    <w:rsid w:val="008915A1"/>
    <w:rsid w:val="008A7C05"/>
    <w:rsid w:val="008E42DD"/>
    <w:rsid w:val="008E793F"/>
    <w:rsid w:val="008F61B6"/>
    <w:rsid w:val="008F68E4"/>
    <w:rsid w:val="00903281"/>
    <w:rsid w:val="00962D29"/>
    <w:rsid w:val="009676C6"/>
    <w:rsid w:val="00983391"/>
    <w:rsid w:val="009B5C03"/>
    <w:rsid w:val="009D0866"/>
    <w:rsid w:val="009E5E5A"/>
    <w:rsid w:val="00A01A94"/>
    <w:rsid w:val="00A31A51"/>
    <w:rsid w:val="00A333CA"/>
    <w:rsid w:val="00A334E0"/>
    <w:rsid w:val="00A40DF8"/>
    <w:rsid w:val="00A55947"/>
    <w:rsid w:val="00A7045B"/>
    <w:rsid w:val="00AB146C"/>
    <w:rsid w:val="00AD13F7"/>
    <w:rsid w:val="00AD527C"/>
    <w:rsid w:val="00AD7588"/>
    <w:rsid w:val="00AE1931"/>
    <w:rsid w:val="00B014B8"/>
    <w:rsid w:val="00B15FA5"/>
    <w:rsid w:val="00B26F33"/>
    <w:rsid w:val="00BA0A9A"/>
    <w:rsid w:val="00BD0207"/>
    <w:rsid w:val="00BD6EF6"/>
    <w:rsid w:val="00BE10E9"/>
    <w:rsid w:val="00BE40BC"/>
    <w:rsid w:val="00BE719A"/>
    <w:rsid w:val="00BF3ECF"/>
    <w:rsid w:val="00C418B2"/>
    <w:rsid w:val="00C429B5"/>
    <w:rsid w:val="00C4335B"/>
    <w:rsid w:val="00C46FB1"/>
    <w:rsid w:val="00C67C92"/>
    <w:rsid w:val="00C74804"/>
    <w:rsid w:val="00C74E6C"/>
    <w:rsid w:val="00C82A9D"/>
    <w:rsid w:val="00C8459A"/>
    <w:rsid w:val="00C93EA6"/>
    <w:rsid w:val="00CA39AD"/>
    <w:rsid w:val="00CA459A"/>
    <w:rsid w:val="00CB29AE"/>
    <w:rsid w:val="00CB4150"/>
    <w:rsid w:val="00CF7FBE"/>
    <w:rsid w:val="00D16DE7"/>
    <w:rsid w:val="00D53D6E"/>
    <w:rsid w:val="00D5628D"/>
    <w:rsid w:val="00D6120E"/>
    <w:rsid w:val="00D63690"/>
    <w:rsid w:val="00D6520E"/>
    <w:rsid w:val="00D67B78"/>
    <w:rsid w:val="00DA094D"/>
    <w:rsid w:val="00DA5D8F"/>
    <w:rsid w:val="00DC182D"/>
    <w:rsid w:val="00E14A9C"/>
    <w:rsid w:val="00E37B54"/>
    <w:rsid w:val="00E574D2"/>
    <w:rsid w:val="00EA16DA"/>
    <w:rsid w:val="00EA3DD2"/>
    <w:rsid w:val="00EB2B65"/>
    <w:rsid w:val="00EC473A"/>
    <w:rsid w:val="00EC4BA2"/>
    <w:rsid w:val="00EE7BD7"/>
    <w:rsid w:val="00F33CB2"/>
    <w:rsid w:val="00F567DC"/>
    <w:rsid w:val="00F83671"/>
    <w:rsid w:val="00FC5CC9"/>
    <w:rsid w:val="00FC6EB2"/>
    <w:rsid w:val="00FF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4D2"/>
  </w:style>
  <w:style w:type="paragraph" w:styleId="a5">
    <w:name w:val="List Paragraph"/>
    <w:basedOn w:val="a"/>
    <w:uiPriority w:val="34"/>
    <w:qFormat/>
    <w:rsid w:val="00647699"/>
    <w:pPr>
      <w:ind w:left="720"/>
      <w:contextualSpacing/>
    </w:pPr>
  </w:style>
  <w:style w:type="paragraph" w:customStyle="1" w:styleId="a6">
    <w:name w:val="А абзац"/>
    <w:basedOn w:val="a"/>
    <w:link w:val="a7"/>
    <w:qFormat/>
    <w:rsid w:val="0061712A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a7">
    <w:name w:val="А абзац Знак"/>
    <w:basedOn w:val="a0"/>
    <w:link w:val="a6"/>
    <w:rsid w:val="0061712A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2">
    <w:name w:val="Стиль2"/>
    <w:basedOn w:val="a6"/>
    <w:link w:val="20"/>
    <w:qFormat/>
    <w:rsid w:val="0061712A"/>
    <w:rPr>
      <w:b/>
      <w:i/>
      <w:color w:val="auto"/>
    </w:rPr>
  </w:style>
  <w:style w:type="character" w:customStyle="1" w:styleId="20">
    <w:name w:val="Стиль2 Знак"/>
    <w:basedOn w:val="a0"/>
    <w:link w:val="2"/>
    <w:rsid w:val="0061712A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1931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DA0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4D2"/>
  </w:style>
  <w:style w:type="paragraph" w:styleId="a5">
    <w:name w:val="List Paragraph"/>
    <w:basedOn w:val="a"/>
    <w:uiPriority w:val="34"/>
    <w:qFormat/>
    <w:rsid w:val="00647699"/>
    <w:pPr>
      <w:ind w:left="720"/>
      <w:contextualSpacing/>
    </w:pPr>
  </w:style>
  <w:style w:type="paragraph" w:customStyle="1" w:styleId="a6">
    <w:name w:val="А абзац"/>
    <w:basedOn w:val="a"/>
    <w:link w:val="a7"/>
    <w:qFormat/>
    <w:rsid w:val="0061712A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a7">
    <w:name w:val="А абзац Знак"/>
    <w:basedOn w:val="a0"/>
    <w:link w:val="a6"/>
    <w:rsid w:val="0061712A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2">
    <w:name w:val="Стиль2"/>
    <w:basedOn w:val="a6"/>
    <w:link w:val="20"/>
    <w:qFormat/>
    <w:rsid w:val="0061712A"/>
    <w:rPr>
      <w:b/>
      <w:i/>
      <w:color w:val="auto"/>
    </w:rPr>
  </w:style>
  <w:style w:type="character" w:customStyle="1" w:styleId="20">
    <w:name w:val="Стиль2 Знак"/>
    <w:basedOn w:val="a0"/>
    <w:link w:val="2"/>
    <w:rsid w:val="0061712A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1931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DA0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vk.com/taxihif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DCEE-5785-4A99-8BFA-9057A315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6989</Words>
  <Characters>39842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Лариса Г. Нестерова</cp:lastModifiedBy>
  <cp:revision>3</cp:revision>
  <cp:lastPrinted>2025-05-06T07:27:00Z</cp:lastPrinted>
  <dcterms:created xsi:type="dcterms:W3CDTF">2025-04-03T10:15:00Z</dcterms:created>
  <dcterms:modified xsi:type="dcterms:W3CDTF">2025-05-06T07:28:00Z</dcterms:modified>
</cp:coreProperties>
</file>